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2"/>
        </w:rPr>
        <w:t>August 7, 2026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2"/>
        </w:rPr>
        <w:t>Maria Judith Carmona-Higuita</w:t>
        <w:br/>
        <w:t>Philipps-Universität Marburg, Department of Biology</w:t>
        <w:br/>
        <w:t>Karl-von-Frisch-Straße 8, 35032 Marburg, Germany</w:t>
        <w:br/>
        <w:t>maria.carmonahiguita@biologie.uni-marburg.de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2"/>
        </w:rPr>
        <w:t>Dear Editor-in-Chief,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We are pleased to resubmit our revised manuscript, </w:t>
      </w:r>
      <w:r>
        <w:rPr>
          <w:rFonts w:ascii="Times New Roman" w:hAnsi="Times New Roman"/>
          <w:b w:val="0"/>
          <w:i/>
          <w:sz w:val="22"/>
        </w:rPr>
        <w:t>"Data Shortfalls on Vascular Epiphytes in the Neotropics"</w:t>
      </w:r>
      <w:r>
        <w:rPr>
          <w:rFonts w:ascii="Times New Roman" w:hAnsi="Times New Roman"/>
          <w:b w:val="0"/>
          <w:i w:val="0"/>
          <w:sz w:val="22"/>
        </w:rPr>
        <w:t xml:space="preserve">, for consideration in </w:t>
      </w:r>
      <w:r>
        <w:rPr>
          <w:rFonts w:ascii="Times New Roman" w:hAnsi="Times New Roman"/>
          <w:b w:val="0"/>
          <w:i/>
          <w:sz w:val="22"/>
        </w:rPr>
        <w:t>Diversity and Distributions</w:t>
      </w:r>
      <w:r>
        <w:rPr>
          <w:rFonts w:ascii="Times New Roman" w:hAnsi="Times New Roman"/>
          <w:b w:val="0"/>
          <w:i w:val="0"/>
          <w:sz w:val="22"/>
        </w:rPr>
        <w:t>. We thank the reviewer for their detailed and constructive evaluation, which has substantially improved the manuscript. Below we summarize the principal revisions; a full point-by-point response is provided in the accompanying Response to Reviewers document.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2"/>
        </w:rPr>
        <w:t>Our study quantifies the Wallacean shortfall—the gap between known species distributions and available georeferenced occurrence data—for the five most species-rich vascular epiphyte families (Araceae, Bromeliaceae, Orchidaceae, Piperaceae, and Polypodiaceae) across the Neotropics. Using the KnowBR accumulation-curve framework at ≈55 km grid-cell resolution, we map spatial and temporal patterns of sampling completeness, compare deficiencies among families, and identify the institutional and ecological factors driving them.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2"/>
        </w:rPr>
        <w:t>The principal revisions in the manuscript are:</w:t>
      </w:r>
    </w:p>
    <w:p>
      <w:pPr>
        <w:pStyle w:val="ListBullet"/>
        <w:spacing w:before="40" w:after="80"/>
        <w:ind w:left="360"/>
      </w:pPr>
      <w:r>
        <w:rPr>
          <w:rFonts w:ascii="Times New Roman" w:hAnsi="Times New Roman"/>
          <w:b/>
          <w:sz w:val="22"/>
        </w:rPr>
        <w:t>Terminology and framing standardized.</w:t>
      </w:r>
      <w:r>
        <w:rPr>
          <w:rFonts w:ascii="Times New Roman" w:hAnsi="Times New Roman"/>
          <w:sz w:val="22"/>
        </w:rPr>
        <w:t xml:space="preserve"> The manuscript now uses "Wallacean shortfall" and "occurrence records" consistently throughout. The proxy labels (slope-based and completeness/R·S−1 ratio) are introduced clearly in the Methods and carried through the Results and Discussion without switching between frameworks.</w:t>
      </w:r>
    </w:p>
    <w:p>
      <w:pPr>
        <w:pStyle w:val="ListBullet"/>
        <w:spacing w:before="40" w:after="80"/>
        <w:ind w:left="360"/>
      </w:pPr>
      <w:r>
        <w:rPr>
          <w:rFonts w:ascii="Times New Roman" w:hAnsi="Times New Roman"/>
          <w:b/>
          <w:sz w:val="22"/>
        </w:rPr>
        <w:t>Methods section substantially expanded.</w:t>
      </w:r>
      <w:r>
        <w:rPr>
          <w:rFonts w:ascii="Times New Roman" w:hAnsi="Times New Roman"/>
          <w:sz w:val="22"/>
        </w:rPr>
        <w:t xml:space="preserve"> We added explicit justification for all analytical choices: the KnowBR slope threshold values (0.02 and 0.3), the minimum 10-record filter, the ≈55 km grid-cell resolution, and the record-density proxy for unmeasured cells. The section formerly split across two short paragraphs has been consolidated and the redundant heading removed.</w:t>
      </w:r>
    </w:p>
    <w:p>
      <w:pPr>
        <w:pStyle w:val="ListBullet"/>
        <w:spacing w:before="40" w:after="80"/>
        <w:ind w:left="360"/>
      </w:pPr>
      <w:r>
        <w:rPr>
          <w:rFonts w:ascii="Times New Roman" w:hAnsi="Times New Roman"/>
          <w:b/>
          <w:sz w:val="22"/>
        </w:rPr>
        <w:t>Results section rewritten for clarity.</w:t>
      </w:r>
      <w:r>
        <w:rPr>
          <w:rFonts w:ascii="Times New Roman" w:hAnsi="Times New Roman"/>
          <w:sz w:val="22"/>
        </w:rPr>
        <w:t xml:space="preserve"> All three main results paragraphs were revised to clearly separate the slope-based proxy (sampling deficiency) from the completeness/R·S−1 ratio proxy (Wallacean shortfall), to state the "richness–shortfall paradox" for Orchidaceae explicitly, and to quantify family comparisons without mixing the two proxy frameworks.</w:t>
      </w:r>
    </w:p>
    <w:p>
      <w:pPr>
        <w:pStyle w:val="ListBullet"/>
        <w:spacing w:before="40" w:after="80"/>
        <w:ind w:left="360"/>
      </w:pPr>
      <w:r>
        <w:rPr>
          <w:rFonts w:ascii="Times New Roman" w:hAnsi="Times New Roman"/>
          <w:b/>
          <w:sz w:val="22"/>
        </w:rPr>
        <w:t>Discussion structurally reorganized.</w:t>
      </w:r>
      <w:r>
        <w:rPr>
          <w:rFonts w:ascii="Times New Roman" w:hAnsi="Times New Roman"/>
          <w:sz w:val="22"/>
        </w:rPr>
        <w:t xml:space="preserve"> The opening paragraph (formerly a results summary) has been rewritten as a genuine discussion opening that contextualizes the extent of the shortfall and its implications. The family-level paragraph has been restructured around ecological and taxonomic mechanisms (inaccessible habitat for Araceae and Bromeliaceae; nomenclatural instability and specialist ID barriers for Orchidaceae). The forward-looking paragraph now frames the need for action in terms of downstream scientific consequences (SDM accuracy, conservation planning under the Kunming-Montreal framework) and proposes a four-part coordinated response with supporting references. A standalone conclusions section has not been added, in keeping with journal style.</w:t>
      </w:r>
    </w:p>
    <w:p>
      <w:pPr>
        <w:pStyle w:val="ListBullet"/>
        <w:spacing w:before="40" w:after="80"/>
        <w:ind w:left="360"/>
      </w:pPr>
      <w:r>
        <w:rPr>
          <w:rFonts w:ascii="Times New Roman" w:hAnsi="Times New Roman"/>
          <w:b/>
          <w:sz w:val="22"/>
        </w:rPr>
        <w:t>Figure color scheme corrected.</w:t>
      </w:r>
      <w:r>
        <w:rPr>
          <w:rFonts w:ascii="Times New Roman" w:hAnsi="Times New Roman"/>
          <w:sz w:val="22"/>
        </w:rPr>
        <w:t xml:space="preserve"> Following the reviewer's suggestion, the color palette in Figures 2 and 3 has been reversed to follow standard heatmap convention: well-sampled grid cells are now shown in red (data-rich) and poorly-sampled cells in blue (data-poor), with light green for intermediate values. Gray grid-cell borders have also been removed from all figures for a cleaner visualization. Captions have been updated accordingly.</w:t>
      </w:r>
    </w:p>
    <w:p>
      <w:pPr>
        <w:pStyle w:val="ListBullet"/>
        <w:spacing w:before="40" w:after="80"/>
        <w:ind w:left="360"/>
      </w:pPr>
      <w:r>
        <w:rPr>
          <w:rFonts w:ascii="Times New Roman" w:hAnsi="Times New Roman"/>
          <w:b/>
          <w:sz w:val="22"/>
        </w:rPr>
        <w:t>Figure S9.1 caption clarified.</w:t>
      </w:r>
      <w:r>
        <w:rPr>
          <w:rFonts w:ascii="Times New Roman" w:hAnsi="Times New Roman"/>
          <w:sz w:val="22"/>
        </w:rPr>
        <w:t xml:space="preserve"> A sentence has been added to clarify that panels A and B of Figure S9.1 show two independently computed frequency distributions (occurrence records per cell and species richness per cell) from the same dataset, displayed side by side for comparison.</w:t>
      </w:r>
    </w:p>
    <w:p>
      <w:pPr>
        <w:spacing w:before="160" w:after="160"/>
        <w:jc w:val="left"/>
      </w:pPr>
      <w:r>
        <w:rPr>
          <w:rFonts w:ascii="Times New Roman" w:hAnsi="Times New Roman"/>
          <w:b w:val="0"/>
          <w:i w:val="0"/>
          <w:sz w:val="22"/>
        </w:rPr>
        <w:t>All data used in this study are publicly available via GBIF and the occurrence database of Carmona-Higuita et al. (2023). R analysis code is available on request from the corresponding author. No new data were generated for this revision.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We believe the revised manuscript fully addresses all reviewer concerns and is now substantially improved. We hope it will be found suitable for publication in </w:t>
      </w:r>
      <w:r>
        <w:rPr>
          <w:rFonts w:ascii="Times New Roman" w:hAnsi="Times New Roman"/>
          <w:b w:val="0"/>
          <w:i/>
          <w:sz w:val="22"/>
        </w:rPr>
        <w:t>Diversity and Distributions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pPr>
        <w:spacing w:before="80" w:after="80"/>
        <w:jc w:val="left"/>
      </w:pPr>
      <w:r>
        <w:rPr>
          <w:rFonts w:ascii="Times New Roman" w:hAnsi="Times New Roman"/>
          <w:b w:val="0"/>
          <w:i w:val="0"/>
          <w:sz w:val="22"/>
        </w:rPr>
        <w:t>Sincerely,</w:t>
      </w:r>
    </w:p>
    <w:p>
      <w:pPr>
        <w:spacing w:before="240" w:after="0"/>
        <w:jc w:val="left"/>
      </w:pPr>
      <w:r>
        <w:rPr>
          <w:rFonts w:ascii="Times New Roman" w:hAnsi="Times New Roman"/>
          <w:b/>
          <w:i w:val="0"/>
          <w:sz w:val="22"/>
        </w:rPr>
        <w:t>Maria Judith Carmona-Higuita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2"/>
        </w:rPr>
        <w:t>on behalf of all authors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2"/>
        </w:rPr>
        <w:t>Philipps-Universität Marburg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2"/>
        </w:rPr>
        <w:t>maria.carmonahiguita@biologie.uni-marburg.de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