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Reviewers</w:t>
      </w:r>
    </w:p>
    <w:p>
      <w:pPr>
        <w:jc w:val="center"/>
      </w:pPr>
      <w:r>
        <w:rPr>
          <w:i/>
          <w:sz w:val="24"/>
        </w:rPr>
        <w:t>Data Shortfalls on Vascular Epiphytes in the Neotropics</w:t>
      </w:r>
    </w:p>
    <w:p>
      <w:pPr>
        <w:jc w:val="center"/>
      </w:pPr>
      <w:r>
        <w:rPr>
          <w:sz w:val="22"/>
        </w:rPr>
        <w:t>Manuscript ID: BITR-25-097 → DDI resubmission</w:t>
      </w:r>
    </w:p>
    <w:p/>
    <w:p>
      <w:pPr>
        <w:pBdr>
          <w:bottom w:val="single" w:sz="4" w:space="1" w:color="BBBBBB"/>
        </w:pBdr>
      </w:pPr>
    </w:p>
    <w:p/>
    <w:p>
      <w:r>
        <w:rPr>
          <w:b/>
          <w:color w:val="1A1A2E"/>
          <w:sz w:val="28"/>
        </w:rPr>
        <w:t>PART I — Response to Reviewer 1</w:t>
      </w:r>
    </w:p>
    <w:p/>
    <w:p/>
    <w:p>
      <w:pPr>
        <w:pBdr>
          <w:bottom w:val="single" w:sz="4" w:space="1" w:color="BBBBBB"/>
        </w:pBdr>
      </w:pPr>
    </w:p>
    <w:p/>
    <w:p>
      <w:r>
        <w:rPr>
          <w:b/>
          <w:color w:val="1A1A2E"/>
          <w:sz w:val="28"/>
        </w:rPr>
        <w:t>PART II — Response to Reviewer 2</w:t>
      </w:r>
    </w:p>
    <w:p/>
    <w:p/>
    <w:p>
      <w:pPr>
        <w:pBdr>
          <w:bottom w:val="single" w:sz="4" w:space="1" w:color="BBBBBB"/>
        </w:pBdr>
      </w:pPr>
    </w:p>
    <w:p/>
    <w:p>
      <w:r>
        <w:rPr>
          <w:b/>
          <w:color w:val="1A1A2E"/>
          <w:sz w:val="28"/>
        </w:rPr>
        <w:t>PART III — Response to Inline Editorial Comments</w:t>
      </w:r>
    </w:p>
    <w:p>
      <w:r>
        <w:rPr>
          <w:sz w:val="20"/>
        </w:rPr>
        <w:t>The following responses correspond to the numbered comments embedded as annotations in the tracked-changes manuscript (DDI_revision_v2.docx).</w:t>
      </w:r>
    </w:p>
    <w:p/>
    <w:sectPr w:rsidR="00FC693F" w:rsidRPr="0006063C" w:rsidSect="00034616">
      <w:pgSz w:w="12240" w:h="15840"/>
      <w:pgMar w:top="1417" w:right="1417" w:bottom="1417" w:left="1701" w:header="720" w:footer="720" w:gutter="0"/>
      <w:cols w:space="720"/>
      <w:docGrid w:linePitch="360"/>
    </w:sectPr>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MAJOR COMMENTS ───</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R1.M1</w:t>
      </w:r>
      <w:r>
        <w:rPr>
          <w:rFonts w:ascii="Times New Roman" w:cs="Times New Roman" w:eastAsia="Times New Roman" w:hAnsi="Times New Roman"/>
          <w:color w:val="555555"/>
          <w:sz w:val="22"/>
          <w:szCs w:val="22"/>
        </w:rPr>
        <w:t xml:space="preserve"> (General): </w:t>
      </w:r>
      <w:r>
        <w:rPr>
          <w:rFonts w:ascii="Times New Roman" w:cs="Times New Roman" w:eastAsia="Times New Roman" w:hAnsi="Times New Roman"/>
          <w:i/>
          <w:iCs/>
          <w:sz w:val="22"/>
          <w:szCs w:val="22"/>
        </w:rPr>
        <w:t>Mismatch between conceptual framework and research questions. Terms "biodiversity shortfall", "Wallacean shortfall", "Linnean shortfall", "geographical bias", and "taxonomic bias" used interchangeably.</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We agree that the original manuscript conflated conceptually distinct terms. We have comprehensively revised the conceptual framework throughout the manuscript. The study now consistently focuses on the Wallacean shortfall (unknown distributions of known species; Hortal et al., 2015), which is what our KnowBR analyses directly measure. References to "Linnean shortfall," "taxonomic shortfall," and "geographic shortfall" as separate objectives have been removed or corrected. The terms "taxonomic bias" and "geographic bias" are retained only where they refer to data collection patterns (not knowledge shortfalls).</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R1.M2</w:t>
      </w:r>
      <w:r>
        <w:rPr>
          <w:rFonts w:ascii="Times New Roman" w:cs="Times New Roman" w:eastAsia="Times New Roman" w:hAnsi="Times New Roman"/>
          <w:color w:val="555555"/>
          <w:sz w:val="22"/>
          <w:szCs w:val="22"/>
        </w:rPr>
        <w:t xml:space="preserve"> (Objectives): </w:t>
      </w:r>
      <w:r>
        <w:rPr>
          <w:rFonts w:ascii="Times New Roman" w:cs="Times New Roman" w:eastAsia="Times New Roman" w:hAnsi="Times New Roman"/>
          <w:i/>
          <w:iCs/>
          <w:sz w:val="22"/>
          <w:szCs w:val="22"/>
        </w:rPr>
        <w:t>Authors claim to measure "taxonomic and geographic biases" but instead describe spatial patterns and inventory completeness. Novelty not clearly articulated.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The objectives have been rewritten to accurately reflect what is measured: inventory completeness and its spatial variation (Wallacean shortfall). We explicitly state that we measure the Wallacean shortfall using three convergent KnowBR metrics (slope, completeness, R/S ratio), and that the study's novelty lies in the first comprehensive assessment of Wallacean shortfalls for the five most species-rich epiphyte families across the entire Neotropics at 30 arc-minute resolution.</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R1.M3</w:t>
      </w:r>
      <w:r>
        <w:rPr>
          <w:rFonts w:ascii="Times New Roman" w:cs="Times New Roman" w:eastAsia="Times New Roman" w:hAnsi="Times New Roman"/>
          <w:color w:val="555555"/>
          <w:sz w:val="22"/>
          <w:szCs w:val="22"/>
        </w:rPr>
        <w:t xml:space="preserve"> (Methods): </w:t>
      </w:r>
      <w:r>
        <w:rPr>
          <w:rFonts w:ascii="Times New Roman" w:cs="Times New Roman" w:eastAsia="Times New Roman" w:hAnsi="Times New Roman"/>
          <w:i/>
          <w:iCs/>
          <w:sz w:val="22"/>
          <w:szCs w:val="22"/>
        </w:rPr>
        <w:t>Many metrics likely highly correlated, leading to redundant results. Justification for using all three metrics needed.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We conducted a formal correlation analysis (Script 07, new Supplementary Table S1) and found that all three KnowBR metrics (slope, completeness, R/S ratio) were highly concordant across all five families (Spearman ρ = 0.86–0.99 for all pairwise combinations). We have revised the Methods (para 45) to acknowledge this explicitly: rather than treating the metrics as three independent measures, we now frame them as convergent evidence of the same underlying signal — the Wallacean shortfall. This strengthens, rather than weakens, our conclusions.</w:t>
      </w:r>
    </w:p>
    <w:p>
      <w:pPr>
        <w:spacing w:after="80" w:before="60"/>
        <w:ind w:left="160"/>
        <w:jc w:val="both"/>
      </w:pPr>
      <w:r>
        <w:rPr>
          <w:rFonts w:ascii="Times New Roman" w:cs="Times New Roman" w:eastAsia="Times New Roman" w:hAnsi="Times New Roman"/>
          <w:b/>
          <w:bCs/>
          <w:sz w:val="22"/>
          <w:szCs w:val="22"/>
        </w:rPr>
        <w:t xml:space="preserve">Change: </w:t>
      </w:r>
      <w:r>
        <w:rPr>
          <w:rFonts w:ascii="Times New Roman" w:cs="Times New Roman" w:eastAsia="Times New Roman" w:hAnsi="Times New Roman"/>
          <w:sz w:val="22"/>
          <w:szCs w:val="22"/>
        </w:rPr>
        <w:t>Methods para 45: "three complementary proxies" → "three metrics... produced highly concordant cell rankings... (Spearman ρ = 0.86–0.99; Supplementary Table S1)... convergent evidence of the Wallacean shortfall." New Supplementary Table S1 added.</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R1.M4</w:t>
      </w:r>
      <w:r>
        <w:rPr>
          <w:rFonts w:ascii="Times New Roman" w:cs="Times New Roman" w:eastAsia="Times New Roman" w:hAnsi="Times New Roman"/>
          <w:color w:val="555555"/>
          <w:sz w:val="22"/>
          <w:szCs w:val="22"/>
        </w:rPr>
        <w:t xml:space="preserve"> (Pg9 ln174 / Pg13 ln245 / Pg18 ln363): </w:t>
      </w:r>
      <w:r>
        <w:rPr>
          <w:rFonts w:ascii="Times New Roman" w:cs="Times New Roman" w:eastAsia="Times New Roman" w:hAnsi="Times New Roman"/>
          <w:i/>
          <w:iCs/>
          <w:sz w:val="22"/>
          <w:szCs w:val="22"/>
        </w:rPr>
        <w:t>Hotspot analysis conceptually flawed: "hotspots of biodiversity shortfalls" paradoxically identify well-sampled areas. Recommends removing the analysis.</w:t>
      </w:r>
    </w:p>
    <w:p>
      <w:pPr>
        <w:spacing w:after="80" w:before="80"/>
        <w:ind w:left="160"/>
        <w:jc w:val="both"/>
      </w:pPr>
      <w:r>
        <w:rPr>
          <w:rFonts w:ascii="Times New Roman" w:cs="Times New Roman" w:eastAsia="Times New Roman" w:hAnsi="Times New Roman"/>
          <w:b/>
          <w:bCs/>
          <w:sz w:val="22"/>
          <w:szCs w:val="22"/>
        </w:rPr>
        <w:t xml:space="preserve">[DONE (MOVED)] </w:t>
      </w:r>
      <w:r>
        <w:rPr>
          <w:rFonts w:ascii="Times New Roman" w:cs="Times New Roman" w:eastAsia="Times New Roman" w:hAnsi="Times New Roman"/>
          <w:sz w:val="22"/>
          <w:szCs w:val="22"/>
        </w:rPr>
        <w:t>We agree with the reviewer that the original framing was misleading. Rather than removing the analysis entirely — which we believe still has descriptive value — we have moved the hotspot maps (Gi* statistic) to Supplementary Information (Figure S5, previously Figure FS4). In the revised text, we correct the interpretation: the Gi* analysis identifies spatial clustering of poorly-sampled cells, not "priority areas for future sampling." The true gaps for sampling prioritization are the unsampled cells (white cells in Figures 1 and 2). The Discussion paragraph on hotspots (para 74) has been revised accordingly.</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MINOR COMMENTS: ABSTRACT ───</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R1.R1.1</w:t>
      </w:r>
      <w:r>
        <w:rPr>
          <w:rFonts w:ascii="Times New Roman" w:cs="Times New Roman" w:eastAsia="Times New Roman" w:hAnsi="Times New Roman"/>
          <w:color w:val="555555"/>
          <w:sz w:val="22"/>
          <w:szCs w:val="22"/>
        </w:rPr>
        <w:t xml:space="preserve"> (Pg3 ln47): </w:t>
      </w:r>
      <w:r>
        <w:rPr>
          <w:rFonts w:ascii="Times New Roman" w:cs="Times New Roman" w:eastAsia="Times New Roman" w:hAnsi="Times New Roman"/>
          <w:i/>
          <w:iCs/>
          <w:sz w:val="22"/>
          <w:szCs w:val="22"/>
        </w:rPr>
        <w:t>Did you actually measure taxonomic shortfalls?</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Abstract revised to refer to "Wallacean shortfall" (inventory completeness) throughout. The term "taxonomic shortfall" has been removed from the abstract.</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R1.R1.2</w:t>
      </w:r>
      <w:r>
        <w:rPr>
          <w:rFonts w:ascii="Times New Roman" w:cs="Times New Roman" w:eastAsia="Times New Roman" w:hAnsi="Times New Roman"/>
          <w:color w:val="555555"/>
          <w:sz w:val="22"/>
          <w:szCs w:val="22"/>
        </w:rPr>
        <w:t xml:space="preserve"> (Pg3 ln49): </w:t>
      </w:r>
      <w:r>
        <w:rPr>
          <w:rFonts w:ascii="Times New Roman" w:cs="Times New Roman" w:eastAsia="Times New Roman" w:hAnsi="Times New Roman"/>
          <w:i/>
          <w:iCs/>
          <w:sz w:val="22"/>
          <w:szCs w:val="22"/>
        </w:rPr>
        <w:t>"Hotspots of biodiversity shortfalls" concept unclear; identified areas correspond to well-sampled regions.</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Tied to Major Comment M4. Abstract sentence about hotspots will be revised once the hotspot reframing is complete.</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MINOR COMMENTS: INTRODUCTION ───</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R1.R1.3</w:t>
      </w:r>
      <w:r>
        <w:rPr>
          <w:rFonts w:ascii="Times New Roman" w:cs="Times New Roman" w:eastAsia="Times New Roman" w:hAnsi="Times New Roman"/>
          <w:color w:val="555555"/>
          <w:sz w:val="22"/>
          <w:szCs w:val="22"/>
        </w:rPr>
        <w:t xml:space="preserve"> (Pg4 ln62): </w:t>
      </w:r>
      <w:r>
        <w:rPr>
          <w:rFonts w:ascii="Times New Roman" w:cs="Times New Roman" w:eastAsia="Times New Roman" w:hAnsi="Times New Roman"/>
          <w:i/>
          <w:iCs/>
          <w:sz w:val="22"/>
          <w:szCs w:val="22"/>
        </w:rPr>
        <w:t>Manuscript overlooks definition of "knowledge shortfalls." Should cite Hortal et al. (2015).</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We have added Hortal et al. (2015) as a key reference and clarified that we focus specifically on the Wallacean shortfall (one of the seven shortfalls sensu Hortal et al., 2015). The introduction now clearly delineates which type of shortfall is being measured.</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R1.R1.4</w:t>
      </w:r>
      <w:r>
        <w:rPr>
          <w:rFonts w:ascii="Times New Roman" w:cs="Times New Roman" w:eastAsia="Times New Roman" w:hAnsi="Times New Roman"/>
          <w:color w:val="555555"/>
          <w:sz w:val="22"/>
          <w:szCs w:val="22"/>
        </w:rPr>
        <w:t xml:space="preserve"> (Pg4 ln67): </w:t>
      </w:r>
      <w:r>
        <w:rPr>
          <w:rFonts w:ascii="Times New Roman" w:cs="Times New Roman" w:eastAsia="Times New Roman" w:hAnsi="Times New Roman"/>
          <w:i/>
          <w:iCs/>
          <w:sz w:val="22"/>
          <w:szCs w:val="22"/>
        </w:rPr>
        <w:t>"Dark diversity" concept may not be appropriate; adds conceptual complexity.</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We have removed the reference to "dark diversity" from the Introduction to streamline the conceptual framework and avoid introducing additional terminology from a separate research program.</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R1.R1.5</w:t>
      </w:r>
      <w:r>
        <w:rPr>
          <w:rFonts w:ascii="Times New Roman" w:cs="Times New Roman" w:eastAsia="Times New Roman" w:hAnsi="Times New Roman"/>
          <w:color w:val="555555"/>
          <w:sz w:val="22"/>
          <w:szCs w:val="22"/>
        </w:rPr>
        <w:t xml:space="preserve"> (Pg5 ln80): </w:t>
      </w:r>
      <w:r>
        <w:rPr>
          <w:rFonts w:ascii="Times New Roman" w:cs="Times New Roman" w:eastAsia="Times New Roman" w:hAnsi="Times New Roman"/>
          <w:i/>
          <w:iCs/>
          <w:sz w:val="22"/>
          <w:szCs w:val="22"/>
        </w:rPr>
        <w:t>Epiphytes as model system needs clarification; older foundational citations expected.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This sentence requires revision.</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R1.R1.6</w:t>
      </w:r>
      <w:r>
        <w:rPr>
          <w:rFonts w:ascii="Times New Roman" w:cs="Times New Roman" w:eastAsia="Times New Roman" w:hAnsi="Times New Roman"/>
          <w:color w:val="555555"/>
          <w:sz w:val="22"/>
          <w:szCs w:val="22"/>
        </w:rPr>
        <w:t xml:space="preserve"> (Pg5 ln101): </w:t>
      </w:r>
      <w:r>
        <w:rPr>
          <w:rFonts w:ascii="Times New Roman" w:cs="Times New Roman" w:eastAsia="Times New Roman" w:hAnsi="Times New Roman"/>
          <w:i/>
          <w:iCs/>
          <w:sz w:val="22"/>
          <w:szCs w:val="22"/>
        </w:rPr>
        <w:t>"Biases" and "shortfalls" used interchangeably.</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We have standardized terminology throughout: "data biases" refers to uneven patterns in data collection; "knowledge shortfalls" refers to gaps in what we know. The distinction is now explicit in the Introduction.</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R1.R1.7</w:t>
      </w:r>
      <w:r>
        <w:rPr>
          <w:rFonts w:ascii="Times New Roman" w:cs="Times New Roman" w:eastAsia="Times New Roman" w:hAnsi="Times New Roman"/>
          <w:color w:val="555555"/>
          <w:sz w:val="22"/>
          <w:szCs w:val="22"/>
        </w:rPr>
        <w:t xml:space="preserve"> (Pg6 ln103): </w:t>
      </w:r>
      <w:r>
        <w:rPr>
          <w:rFonts w:ascii="Times New Roman" w:cs="Times New Roman" w:eastAsia="Times New Roman" w:hAnsi="Times New Roman"/>
          <w:i/>
          <w:iCs/>
          <w:sz w:val="22"/>
          <w:szCs w:val="22"/>
        </w:rPr>
        <w:t>Novelty not articulated; substantial literature on Wallacean shortfalls and inventory completeness already exists.</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See Major Comment M2.</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R1.R1.8</w:t>
      </w:r>
      <w:r>
        <w:rPr>
          <w:rFonts w:ascii="Times New Roman" w:cs="Times New Roman" w:eastAsia="Times New Roman" w:hAnsi="Times New Roman"/>
          <w:color w:val="555555"/>
          <w:sz w:val="22"/>
          <w:szCs w:val="22"/>
        </w:rPr>
        <w:t xml:space="preserve"> (Pg6 ln106): </w:t>
      </w:r>
      <w:r>
        <w:rPr>
          <w:rFonts w:ascii="Times New Roman" w:cs="Times New Roman" w:eastAsia="Times New Roman" w:hAnsi="Times New Roman"/>
          <w:i/>
          <w:iCs/>
          <w:sz w:val="22"/>
          <w:szCs w:val="22"/>
        </w:rPr>
        <w:t>Study does not measure Linnean shortfall.</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Reference to measuring the Linnean shortfall has been removed throughout. All analyses are now framed as measuring the Wallacean shortfall (inventory completeness).</w:t>
      </w: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MINOR COMMENTS: METHODS ───</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R1.R1.9</w:t>
      </w:r>
      <w:r>
        <w:rPr>
          <w:rFonts w:ascii="Times New Roman" w:cs="Times New Roman" w:eastAsia="Times New Roman" w:hAnsi="Times New Roman"/>
          <w:color w:val="555555"/>
          <w:sz w:val="22"/>
          <w:szCs w:val="22"/>
        </w:rPr>
        <w:t xml:space="preserve"> (Pg7 ln135): </w:t>
      </w:r>
      <w:r>
        <w:rPr>
          <w:rFonts w:ascii="Times New Roman" w:cs="Times New Roman" w:eastAsia="Times New Roman" w:hAnsi="Times New Roman"/>
          <w:i/>
          <w:iCs/>
          <w:sz w:val="22"/>
          <w:szCs w:val="22"/>
        </w:rPr>
        <w:t>Unclear whether temporal duplicates are excluded. Deduplication based only on coordinates may underestimate completeness.</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Requires clarification of the deduplication protocol.</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R1.R1.10</w:t>
      </w:r>
      <w:r>
        <w:rPr>
          <w:rFonts w:ascii="Times New Roman" w:cs="Times New Roman" w:eastAsia="Times New Roman" w:hAnsi="Times New Roman"/>
          <w:color w:val="555555"/>
          <w:sz w:val="22"/>
          <w:szCs w:val="22"/>
        </w:rPr>
        <w:t xml:space="preserve"> (Pg7 ln138): </w:t>
      </w:r>
      <w:r>
        <w:rPr>
          <w:rFonts w:ascii="Times New Roman" w:cs="Times New Roman" w:eastAsia="Times New Roman" w:hAnsi="Times New Roman"/>
          <w:i/>
          <w:iCs/>
          <w:sz w:val="22"/>
          <w:szCs w:val="22"/>
        </w:rPr>
        <w:t>Justification for 30 arc-minute resolution not provided.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Requires a justification sentence in Methods.</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R1.R1.11</w:t>
      </w:r>
      <w:r>
        <w:rPr>
          <w:rFonts w:ascii="Times New Roman" w:cs="Times New Roman" w:eastAsia="Times New Roman" w:hAnsi="Times New Roman"/>
          <w:color w:val="555555"/>
          <w:sz w:val="22"/>
          <w:szCs w:val="22"/>
        </w:rPr>
        <w:t xml:space="preserve"> (Pg7 ln139): </w:t>
      </w:r>
      <w:r>
        <w:rPr>
          <w:rFonts w:ascii="Times New Roman" w:cs="Times New Roman" w:eastAsia="Times New Roman" w:hAnsi="Times New Roman"/>
          <w:i/>
          <w:iCs/>
          <w:sz w:val="22"/>
          <w:szCs w:val="22"/>
        </w:rPr>
        <w:t>"Completeness of what?" — metric not specified.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Methods now specify that completeness refers to "inventory completeness of species occurrences within each grid cell, estimated as the proportion of the predicted species pool already recorded based on the species accumulation curve."</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R1.R1.12</w:t>
      </w:r>
      <w:r>
        <w:rPr>
          <w:rFonts w:ascii="Times New Roman" w:cs="Times New Roman" w:eastAsia="Times New Roman" w:hAnsi="Times New Roman"/>
          <w:color w:val="555555"/>
          <w:sz w:val="22"/>
          <w:szCs w:val="22"/>
        </w:rPr>
        <w:t xml:space="preserve"> (Pg8 ln142): </w:t>
      </w:r>
      <w:r>
        <w:rPr>
          <w:rFonts w:ascii="Times New Roman" w:cs="Times New Roman" w:eastAsia="Times New Roman" w:hAnsi="Times New Roman"/>
          <w:i/>
          <w:iCs/>
          <w:sz w:val="22"/>
          <w:szCs w:val="22"/>
        </w:rPr>
        <w:t>Permutation tests not explicitly stated; number of permutations not reported.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Requires addition to Methods.</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R1.R1.13</w:t>
      </w:r>
      <w:r>
        <w:rPr>
          <w:rFonts w:ascii="Times New Roman" w:cs="Times New Roman" w:eastAsia="Times New Roman" w:hAnsi="Times New Roman"/>
          <w:color w:val="555555"/>
          <w:sz w:val="22"/>
          <w:szCs w:val="22"/>
        </w:rPr>
        <w:t xml:space="preserve"> (Pg8 ln147 &amp; ln149): </w:t>
      </w:r>
      <w:r>
        <w:rPr>
          <w:rFonts w:ascii="Times New Roman" w:cs="Times New Roman" w:eastAsia="Times New Roman" w:hAnsi="Times New Roman"/>
          <w:i/>
          <w:iCs/>
          <w:sz w:val="22"/>
          <w:szCs w:val="22"/>
        </w:rPr>
        <w:t>Authors not measuring "taxonomic shortfall"; should refer to inventory completeness.</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Both instances revised. The manuscript now refers exclusively to "sampling completeness" and "Wallacean shortfall" rather than "taxonomic shortfall."</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R1.R1.14</w:t>
      </w:r>
      <w:r>
        <w:rPr>
          <w:rFonts w:ascii="Times New Roman" w:cs="Times New Roman" w:eastAsia="Times New Roman" w:hAnsi="Times New Roman"/>
          <w:color w:val="555555"/>
          <w:sz w:val="22"/>
          <w:szCs w:val="22"/>
        </w:rPr>
        <w:t xml:space="preserve"> (Pg8 ln156): </w:t>
      </w:r>
      <w:r>
        <w:rPr>
          <w:rFonts w:ascii="Times New Roman" w:cs="Times New Roman" w:eastAsia="Times New Roman" w:hAnsi="Times New Roman"/>
          <w:i/>
          <w:iCs/>
          <w:sz w:val="22"/>
          <w:szCs w:val="22"/>
        </w:rPr>
        <w:t>Metrics likely highly correlated; correlation analysis recommended.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See Major Comment M3. Spearman ρ = 0.86–0.99 for all pairs. Table S1 added.</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R1.R1.15</w:t>
      </w:r>
      <w:r>
        <w:rPr>
          <w:rFonts w:ascii="Times New Roman" w:cs="Times New Roman" w:eastAsia="Times New Roman" w:hAnsi="Times New Roman"/>
          <w:color w:val="555555"/>
          <w:sz w:val="22"/>
          <w:szCs w:val="22"/>
        </w:rPr>
        <w:t xml:space="preserve"> (Pg8 ln158): </w:t>
      </w:r>
      <w:r>
        <w:rPr>
          <w:rFonts w:ascii="Times New Roman" w:cs="Times New Roman" w:eastAsia="Times New Roman" w:hAnsi="Times New Roman"/>
          <w:i/>
          <w:iCs/>
          <w:sz w:val="22"/>
          <w:szCs w:val="22"/>
        </w:rPr>
        <w:t>Classification criterion unclear — based on quartiles mentioned earlier?</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Methods rewritten to explicitly state the three-class thresholds: well-sampled (slope &lt; 0.02), fairly-sampled (0.02 ≤ slope ≤ 0.3), poorly-sampled (slope &gt; 0.3). Same for completeness+R/S proxy. Quartile language removed.</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R1.R1.16</w:t>
      </w:r>
      <w:r>
        <w:rPr>
          <w:rFonts w:ascii="Times New Roman" w:cs="Times New Roman" w:eastAsia="Times New Roman" w:hAnsi="Times New Roman"/>
          <w:color w:val="555555"/>
          <w:sz w:val="22"/>
          <w:szCs w:val="22"/>
        </w:rPr>
        <w:t xml:space="preserve"> (Pg9 ln164): </w:t>
      </w:r>
      <w:r>
        <w:rPr>
          <w:rFonts w:ascii="Times New Roman" w:cs="Times New Roman" w:eastAsia="Times New Roman" w:hAnsi="Times New Roman"/>
          <w:i/>
          <w:iCs/>
          <w:sz w:val="22"/>
          <w:szCs w:val="22"/>
        </w:rPr>
        <w:t>Rationale for 10-record threshold not justified; sensitivity analysis recommended.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Sensitivity analysis conducted (Script 08). Spearman ρ = 1.00 for all thresholds (5–30 records). Threshold of 10 retains 94.3% of cells. Results added to Methods and Supplementary Table S2 and Figure S1.</w:t>
      </w:r>
    </w:p>
    <w:p>
      <w:pPr>
        <w:spacing w:after="80" w:before="60"/>
        <w:ind w:left="160"/>
        <w:jc w:val="both"/>
      </w:pPr>
      <w:r>
        <w:rPr>
          <w:rFonts w:ascii="Times New Roman" w:cs="Times New Roman" w:eastAsia="Times New Roman" w:hAnsi="Times New Roman"/>
          <w:b/>
          <w:bCs/>
          <w:sz w:val="22"/>
          <w:szCs w:val="22"/>
        </w:rPr>
        <w:t xml:space="preserve">Change: </w:t>
      </w:r>
      <w:r>
        <w:rPr>
          <w:rFonts w:ascii="Times New Roman" w:cs="Times New Roman" w:eastAsia="Times New Roman" w:hAnsi="Times New Roman"/>
          <w:sz w:val="22"/>
          <w:szCs w:val="22"/>
        </w:rPr>
        <w:t>Methods para 46: added sentence reporting sensitivity results. Supplementary Table S2 and Figure S1 added.</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R1.R1.17</w:t>
      </w:r>
      <w:r>
        <w:rPr>
          <w:rFonts w:ascii="Times New Roman" w:cs="Times New Roman" w:eastAsia="Times New Roman" w:hAnsi="Times New Roman"/>
          <w:color w:val="555555"/>
          <w:sz w:val="22"/>
          <w:szCs w:val="22"/>
        </w:rPr>
        <w:t xml:space="preserve"> (Pg9 ln167): </w:t>
      </w:r>
      <w:r>
        <w:rPr>
          <w:rFonts w:ascii="Times New Roman" w:cs="Times New Roman" w:eastAsia="Times New Roman" w:hAnsi="Times New Roman"/>
          <w:i/>
          <w:iCs/>
          <w:sz w:val="22"/>
          <w:szCs w:val="22"/>
        </w:rPr>
        <w:t>Hotspot quantification methodology unclear.</w:t>
      </w:r>
    </w:p>
    <w:p>
      <w:pPr>
        <w:spacing w:after="80" w:before="80"/>
        <w:ind w:left="160"/>
        <w:jc w:val="both"/>
      </w:pPr>
      <w:r>
        <w:rPr>
          <w:rFonts w:ascii="Times New Roman" w:cs="Times New Roman" w:eastAsia="Times New Roman" w:hAnsi="Times New Roman"/>
          <w:b/>
          <w:bCs/>
          <w:sz w:val="22"/>
          <w:szCs w:val="22"/>
        </w:rPr>
        <w:t xml:space="preserve">[DONE (MOVED)] </w:t>
      </w:r>
      <w:r>
        <w:rPr>
          <w:rFonts w:ascii="Times New Roman" w:cs="Times New Roman" w:eastAsia="Times New Roman" w:hAnsi="Times New Roman"/>
          <w:sz w:val="22"/>
          <w:szCs w:val="22"/>
        </w:rPr>
        <w:t>The hotspot analysis methods have been condensed in the main text to a single sentence referencing Supplementary Information, where the full methodological description is provided.</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R1.R1.18</w:t>
      </w:r>
      <w:r>
        <w:rPr>
          <w:rFonts w:ascii="Times New Roman" w:cs="Times New Roman" w:eastAsia="Times New Roman" w:hAnsi="Times New Roman"/>
          <w:color w:val="555555"/>
          <w:sz w:val="22"/>
          <w:szCs w:val="22"/>
        </w:rPr>
        <w:t xml:space="preserve"> (Pg9 ln168): </w:t>
      </w:r>
      <w:r>
        <w:rPr>
          <w:rFonts w:ascii="Times New Roman" w:cs="Times New Roman" w:eastAsia="Times New Roman" w:hAnsi="Times New Roman"/>
          <w:i/>
          <w:iCs/>
          <w:sz w:val="22"/>
          <w:szCs w:val="22"/>
        </w:rPr>
        <w:t>Biases toward accessible regions not quantified analytically; only descriptive.</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This requires either a formal analysis or a rephrasing of the claim.</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R1.R1.19</w:t>
      </w:r>
      <w:r>
        <w:rPr>
          <w:rFonts w:ascii="Times New Roman" w:cs="Times New Roman" w:eastAsia="Times New Roman" w:hAnsi="Times New Roman"/>
          <w:color w:val="555555"/>
          <w:sz w:val="22"/>
          <w:szCs w:val="22"/>
        </w:rPr>
        <w:t xml:space="preserve"> (Pg9 ln171): </w:t>
      </w:r>
      <w:r>
        <w:rPr>
          <w:rFonts w:ascii="Times New Roman" w:cs="Times New Roman" w:eastAsia="Times New Roman" w:hAnsi="Times New Roman"/>
          <w:i/>
          <w:iCs/>
          <w:sz w:val="22"/>
          <w:szCs w:val="22"/>
        </w:rPr>
        <w:t>"Biogeographic provinces" not explained; readers may not know what they are.</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A brief explanation of Morrone et al. (2022) biogeographic provinces has been added to Methods. A new figure (Figure SX, now Figure S6 pending) showing all provinces with labels has been produced (Script 09) and is referenced in the Methods.</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R1.R1.20</w:t>
      </w:r>
      <w:r>
        <w:rPr>
          <w:rFonts w:ascii="Times New Roman" w:cs="Times New Roman" w:eastAsia="Times New Roman" w:hAnsi="Times New Roman"/>
          <w:color w:val="555555"/>
          <w:sz w:val="22"/>
          <w:szCs w:val="22"/>
        </w:rPr>
        <w:t xml:space="preserve"> (Pg9 ln174): </w:t>
      </w:r>
      <w:r>
        <w:rPr>
          <w:rFonts w:ascii="Times New Roman" w:cs="Times New Roman" w:eastAsia="Times New Roman" w:hAnsi="Times New Roman"/>
          <w:i/>
          <w:iCs/>
          <w:sz w:val="22"/>
          <w:szCs w:val="22"/>
        </w:rPr>
        <w:t>Hotspot analysis conceptually flawed (see Major Comment M4).</w:t>
      </w:r>
    </w:p>
    <w:p>
      <w:pPr>
        <w:spacing w:after="80" w:before="80"/>
        <w:ind w:left="160"/>
        <w:jc w:val="both"/>
      </w:pPr>
      <w:r>
        <w:rPr>
          <w:rFonts w:ascii="Times New Roman" w:cs="Times New Roman" w:eastAsia="Times New Roman" w:hAnsi="Times New Roman"/>
          <w:b/>
          <w:bCs/>
          <w:sz w:val="22"/>
          <w:szCs w:val="22"/>
        </w:rPr>
        <w:t xml:space="preserve">[DONE (MOVED)] </w:t>
      </w:r>
      <w:r>
        <w:rPr>
          <w:rFonts w:ascii="Times New Roman" w:cs="Times New Roman" w:eastAsia="Times New Roman" w:hAnsi="Times New Roman"/>
          <w:sz w:val="22"/>
          <w:szCs w:val="22"/>
        </w:rPr>
        <w:t>See Major Comment M4.</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R1.R1.21</w:t>
      </w:r>
      <w:r>
        <w:rPr>
          <w:rFonts w:ascii="Times New Roman" w:cs="Times New Roman" w:eastAsia="Times New Roman" w:hAnsi="Times New Roman"/>
          <w:color w:val="555555"/>
          <w:sz w:val="22"/>
          <w:szCs w:val="22"/>
        </w:rPr>
        <w:t xml:space="preserve"> (Pg9 ln175): </w:t>
      </w:r>
      <w:r>
        <w:rPr>
          <w:rFonts w:ascii="Times New Roman" w:cs="Times New Roman" w:eastAsia="Times New Roman" w:hAnsi="Times New Roman"/>
          <w:i/>
          <w:iCs/>
          <w:sz w:val="22"/>
          <w:szCs w:val="22"/>
        </w:rPr>
        <w:t>Terminology inconsistency throughout.</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Terminology standardized throughout. See Major Comment M1.</w:t>
      </w: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MINOR COMMENTS: RESULTS ───</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R1.R1.22</w:t>
      </w:r>
      <w:r>
        <w:rPr>
          <w:rFonts w:ascii="Times New Roman" w:cs="Times New Roman" w:eastAsia="Times New Roman" w:hAnsi="Times New Roman"/>
          <w:color w:val="555555"/>
          <w:sz w:val="22"/>
          <w:szCs w:val="22"/>
        </w:rPr>
        <w:t xml:space="preserve"> (Pg10 ln196): </w:t>
      </w:r>
      <w:r>
        <w:rPr>
          <w:rFonts w:ascii="Times New Roman" w:cs="Times New Roman" w:eastAsia="Times New Roman" w:hAnsi="Times New Roman"/>
          <w:i/>
          <w:iCs/>
          <w:sz w:val="22"/>
          <w:szCs w:val="22"/>
        </w:rPr>
        <w:t>Mean not appropriate for non-normal data; median recommended.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Mean replaced by median throughout Results para 57. Median records per cell = 14; median species per cell = 46.</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R1.R1.23</w:t>
      </w:r>
      <w:r>
        <w:rPr>
          <w:rFonts w:ascii="Times New Roman" w:cs="Times New Roman" w:eastAsia="Times New Roman" w:hAnsi="Times New Roman"/>
          <w:color w:val="555555"/>
          <w:sz w:val="22"/>
          <w:szCs w:val="22"/>
        </w:rPr>
        <w:t xml:space="preserve"> (Pg10 ln199): </w:t>
      </w:r>
      <w:r>
        <w:rPr>
          <w:rFonts w:ascii="Times New Roman" w:cs="Times New Roman" w:eastAsia="Times New Roman" w:hAnsi="Times New Roman"/>
          <w:i/>
          <w:iCs/>
          <w:sz w:val="22"/>
          <w:szCs w:val="22"/>
        </w:rPr>
        <w:t>Mean again problematic; consider visual summary.</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Mean replaced by median. A summary by province is available in Table S3 (formerly TS1).</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R1.R1.24</w:t>
      </w:r>
      <w:r>
        <w:rPr>
          <w:rFonts w:ascii="Times New Roman" w:cs="Times New Roman" w:eastAsia="Times New Roman" w:hAnsi="Times New Roman"/>
          <w:color w:val="555555"/>
          <w:sz w:val="22"/>
          <w:szCs w:val="22"/>
        </w:rPr>
        <w:t xml:space="preserve"> (Pg11 ln207): </w:t>
      </w:r>
      <w:r>
        <w:rPr>
          <w:rFonts w:ascii="Times New Roman" w:cs="Times New Roman" w:eastAsia="Times New Roman" w:hAnsi="Times New Roman"/>
          <w:i/>
          <w:iCs/>
          <w:sz w:val="22"/>
          <w:szCs w:val="22"/>
        </w:rPr>
        <w:t>Table TS1 not received; Pearson r not reported in Results.</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Pearson r added to Results para 57: "Records per grid cell and species richness were positively correlated (Pearson r = 0.70, p &lt; 0.001; Spearman ρ = 0.95), indicating a strong influence of sampling effort on observed species richness (Oliveira et al., 2017)." Table TS1 renamed Table S3 in this submission.</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R1.R1.25</w:t>
      </w:r>
      <w:r>
        <w:rPr>
          <w:rFonts w:ascii="Times New Roman" w:cs="Times New Roman" w:eastAsia="Times New Roman" w:hAnsi="Times New Roman"/>
          <w:color w:val="555555"/>
          <w:sz w:val="22"/>
          <w:szCs w:val="22"/>
        </w:rPr>
        <w:t xml:space="preserve"> (Pg11 ln212 (first)): </w:t>
      </w:r>
      <w:r>
        <w:rPr>
          <w:rFonts w:ascii="Times New Roman" w:cs="Times New Roman" w:eastAsia="Times New Roman" w:hAnsi="Times New Roman"/>
          <w:i/>
          <w:iCs/>
          <w:sz w:val="22"/>
          <w:szCs w:val="22"/>
        </w:rPr>
        <w:t>"Taxonomic shortfalls" terminology.</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Revised to "sampling completeness (slope-based proxy)."</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R1.R1.26</w:t>
      </w:r>
      <w:r>
        <w:rPr>
          <w:rFonts w:ascii="Times New Roman" w:cs="Times New Roman" w:eastAsia="Times New Roman" w:hAnsi="Times New Roman"/>
          <w:color w:val="555555"/>
          <w:sz w:val="22"/>
          <w:szCs w:val="22"/>
        </w:rPr>
        <w:t xml:space="preserve"> (Pg11 ln212 (second)): </w:t>
      </w:r>
      <w:r>
        <w:rPr>
          <w:rFonts w:ascii="Times New Roman" w:cs="Times New Roman" w:eastAsia="Times New Roman" w:hAnsi="Times New Roman"/>
          <w:i/>
          <w:iCs/>
          <w:sz w:val="22"/>
          <w:szCs w:val="22"/>
        </w:rPr>
        <w:t>Lengthy descriptive text; consider table or figure.</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Results text is still lengthy in some sections.</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R1.R1.27</w:t>
      </w:r>
      <w:r>
        <w:rPr>
          <w:rFonts w:ascii="Times New Roman" w:cs="Times New Roman" w:eastAsia="Times New Roman" w:hAnsi="Times New Roman"/>
          <w:color w:val="555555"/>
          <w:sz w:val="22"/>
          <w:szCs w:val="22"/>
        </w:rPr>
        <w:t xml:space="preserve"> (Pg11 ln220): </w:t>
      </w:r>
      <w:r>
        <w:rPr>
          <w:rFonts w:ascii="Times New Roman" w:cs="Times New Roman" w:eastAsia="Times New Roman" w:hAnsi="Times New Roman"/>
          <w:i/>
          <w:iCs/>
          <w:sz w:val="22"/>
          <w:szCs w:val="22"/>
        </w:rPr>
        <w:t>"Geographic shortfalls" = inventory completeness within sampled cells, not unsampled cells.</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Revised to "Wallacean shortfall" and "distributional knowledge gaps" throughout. The distinction between sampled cells with low completeness vs. completely unsampled cells is now explicit.</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R1.R1.28</w:t>
      </w:r>
      <w:r>
        <w:rPr>
          <w:rFonts w:ascii="Times New Roman" w:cs="Times New Roman" w:eastAsia="Times New Roman" w:hAnsi="Times New Roman"/>
          <w:color w:val="555555"/>
          <w:sz w:val="22"/>
          <w:szCs w:val="22"/>
        </w:rPr>
        <w:t xml:space="preserve"> (Pg11 ln221): </w:t>
      </w:r>
      <w:r>
        <w:rPr>
          <w:rFonts w:ascii="Times New Roman" w:cs="Times New Roman" w:eastAsia="Times New Roman" w:hAnsi="Times New Roman"/>
          <w:i/>
          <w:iCs/>
          <w:sz w:val="22"/>
          <w:szCs w:val="22"/>
        </w:rPr>
        <w:t>Lengthy descriptive results.</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See comment R1.26.</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R1.R1.29</w:t>
      </w:r>
      <w:r>
        <w:rPr>
          <w:rFonts w:ascii="Times New Roman" w:cs="Times New Roman" w:eastAsia="Times New Roman" w:hAnsi="Times New Roman"/>
          <w:color w:val="555555"/>
          <w:sz w:val="22"/>
          <w:szCs w:val="22"/>
        </w:rPr>
        <w:t xml:space="preserve"> (Pg12 ln229): </w:t>
      </w:r>
      <w:r>
        <w:rPr>
          <w:rFonts w:ascii="Times New Roman" w:cs="Times New Roman" w:eastAsia="Times New Roman" w:hAnsi="Times New Roman"/>
          <w:i/>
          <w:iCs/>
          <w:sz w:val="22"/>
          <w:szCs w:val="22"/>
        </w:rPr>
        <w:t>Mean for all Neotropics problematic given geographic structuring of SR.</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Requires revision of opening sentence in this results paragraph.</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R1.R1.30</w:t>
      </w:r>
      <w:r>
        <w:rPr>
          <w:rFonts w:ascii="Times New Roman" w:cs="Times New Roman" w:eastAsia="Times New Roman" w:hAnsi="Times New Roman"/>
          <w:color w:val="555555"/>
          <w:sz w:val="22"/>
          <w:szCs w:val="22"/>
        </w:rPr>
        <w:t xml:space="preserve"> (Pg13 ln245): </w:t>
      </w:r>
      <w:r>
        <w:rPr>
          <w:rFonts w:ascii="Times New Roman" w:cs="Times New Roman" w:eastAsia="Times New Roman" w:hAnsi="Times New Roman"/>
          <w:i/>
          <w:iCs/>
          <w:sz w:val="22"/>
          <w:szCs w:val="22"/>
        </w:rPr>
        <w:t>Hotspot section adds little; "well-surveyed areas" called hotspots of shortfalls is flawed.</w:t>
      </w:r>
    </w:p>
    <w:p>
      <w:pPr>
        <w:spacing w:after="80" w:before="80"/>
        <w:ind w:left="160"/>
        <w:jc w:val="both"/>
      </w:pPr>
      <w:r>
        <w:rPr>
          <w:rFonts w:ascii="Times New Roman" w:cs="Times New Roman" w:eastAsia="Times New Roman" w:hAnsi="Times New Roman"/>
          <w:b/>
          <w:bCs/>
          <w:sz w:val="22"/>
          <w:szCs w:val="22"/>
        </w:rPr>
        <w:t xml:space="preserve">[DONE (MOVED)] </w:t>
      </w:r>
      <w:r>
        <w:rPr>
          <w:rFonts w:ascii="Times New Roman" w:cs="Times New Roman" w:eastAsia="Times New Roman" w:hAnsi="Times New Roman"/>
          <w:sz w:val="22"/>
          <w:szCs w:val="22"/>
        </w:rPr>
        <w:t>See Major Comment M4. Section 3 moved to SI.</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MINOR COMMENTS: DISCUSSION ───</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R1.R1.31</w:t>
      </w:r>
      <w:r>
        <w:rPr>
          <w:rFonts w:ascii="Times New Roman" w:cs="Times New Roman" w:eastAsia="Times New Roman" w:hAnsi="Times New Roman"/>
          <w:color w:val="555555"/>
          <w:sz w:val="22"/>
          <w:szCs w:val="22"/>
        </w:rPr>
        <w:t xml:space="preserve"> (Pg13 ln261): </w:t>
      </w:r>
      <w:r>
        <w:rPr>
          <w:rFonts w:ascii="Times New Roman" w:cs="Times New Roman" w:eastAsia="Times New Roman" w:hAnsi="Times New Roman"/>
          <w:i/>
          <w:iCs/>
          <w:sz w:val="22"/>
          <w:szCs w:val="22"/>
        </w:rPr>
        <w:t>Lack of comparison with other studies; novelty vs previous work not developed.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New Discussion paragraph added comparing VE completeness with tree inventories: Chanachai et al. (2024) found only 18% of 100×100 km global sampling units well-surveyed for trees (C ≥ 0.80), with tropical South America among the worst-surveyed regions. Our results show only 1.1% of Neotropical VE grid cells well-sampled, indicating that epiphytes face compounded knowledge gaps relative to the most thoroughly collected plant group.</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R1.R1.32</w:t>
      </w:r>
      <w:r>
        <w:rPr>
          <w:rFonts w:ascii="Times New Roman" w:cs="Times New Roman" w:eastAsia="Times New Roman" w:hAnsi="Times New Roman"/>
          <w:color w:val="555555"/>
          <w:sz w:val="22"/>
          <w:szCs w:val="22"/>
        </w:rPr>
        <w:t xml:space="preserve"> (Pg14 ln267): </w:t>
      </w:r>
      <w:r>
        <w:rPr>
          <w:rFonts w:ascii="Times New Roman" w:cs="Times New Roman" w:eastAsia="Times New Roman" w:hAnsi="Times New Roman"/>
          <w:i/>
          <w:iCs/>
          <w:sz w:val="22"/>
          <w:szCs w:val="22"/>
        </w:rPr>
        <w:t>Many province names unfamiliar to readers; figure recommended.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New figure produced (Script 09, output/figures/Fig_biogeographic_provinces.jpg) showing all 57 Morrone et al. (2022) biogeographic provinces colored by subregion, with labels for the provinces most referenced in the text.</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R1.R1.33</w:t>
      </w:r>
      <w:r>
        <w:rPr>
          <w:rFonts w:ascii="Times New Roman" w:cs="Times New Roman" w:eastAsia="Times New Roman" w:hAnsi="Times New Roman"/>
          <w:color w:val="555555"/>
          <w:sz w:val="22"/>
          <w:szCs w:val="22"/>
        </w:rPr>
        <w:t xml:space="preserve"> (Pg14 ln277): </w:t>
      </w:r>
      <w:r>
        <w:rPr>
          <w:rFonts w:ascii="Times New Roman" w:cs="Times New Roman" w:eastAsia="Times New Roman" w:hAnsi="Times New Roman"/>
          <w:i/>
          <w:iCs/>
          <w:sz w:val="22"/>
          <w:szCs w:val="22"/>
        </w:rPr>
        <w:t>Data cleaning information more appropriate in Results.</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Content in Discussion para 68 about data cleaning should move to Results.</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R1.R1.34</w:t>
      </w:r>
      <w:r>
        <w:rPr>
          <w:rFonts w:ascii="Times New Roman" w:cs="Times New Roman" w:eastAsia="Times New Roman" w:hAnsi="Times New Roman"/>
          <w:color w:val="555555"/>
          <w:sz w:val="22"/>
          <w:szCs w:val="22"/>
        </w:rPr>
        <w:t xml:space="preserve"> (Pg15 ln299): </w:t>
      </w:r>
      <w:r>
        <w:rPr>
          <w:rFonts w:ascii="Times New Roman" w:cs="Times New Roman" w:eastAsia="Times New Roman" w:hAnsi="Times New Roman"/>
          <w:i/>
          <w:iCs/>
          <w:sz w:val="22"/>
          <w:szCs w:val="22"/>
        </w:rPr>
        <w:t>Citation needed for "historical survey" statement.</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Requires identifying the appropriate citation.</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R1.R1.35</w:t>
      </w:r>
      <w:r>
        <w:rPr>
          <w:rFonts w:ascii="Times New Roman" w:cs="Times New Roman" w:eastAsia="Times New Roman" w:hAnsi="Times New Roman"/>
          <w:color w:val="555555"/>
          <w:sz w:val="22"/>
          <w:szCs w:val="22"/>
        </w:rPr>
        <w:t xml:space="preserve"> (Pg18 ln352): </w:t>
      </w:r>
      <w:r>
        <w:rPr>
          <w:rFonts w:ascii="Times New Roman" w:cs="Times New Roman" w:eastAsia="Times New Roman" w:hAnsi="Times New Roman"/>
          <w:i/>
          <w:iCs/>
          <w:sz w:val="22"/>
          <w:szCs w:val="22"/>
        </w:rPr>
        <w:t>Citations may not adequately support the statement.</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Requires checking the specific sentence and citations.</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R1.R1.36</w:t>
      </w:r>
      <w:r>
        <w:rPr>
          <w:rFonts w:ascii="Times New Roman" w:cs="Times New Roman" w:eastAsia="Times New Roman" w:hAnsi="Times New Roman"/>
          <w:color w:val="555555"/>
          <w:sz w:val="22"/>
          <w:szCs w:val="22"/>
        </w:rPr>
        <w:t xml:space="preserve"> (Pg18 ln355): </w:t>
      </w:r>
      <w:r>
        <w:rPr>
          <w:rFonts w:ascii="Times New Roman" w:cs="Times New Roman" w:eastAsia="Times New Roman" w:hAnsi="Times New Roman"/>
          <w:i/>
          <w:iCs/>
          <w:sz w:val="22"/>
          <w:szCs w:val="22"/>
        </w:rPr>
        <w:t>Very long sentence; difficult to follow.</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Requires splitting into shorter sentences.</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R1.R1.37</w:t>
      </w:r>
      <w:r>
        <w:rPr>
          <w:rFonts w:ascii="Times New Roman" w:cs="Times New Roman" w:eastAsia="Times New Roman" w:hAnsi="Times New Roman"/>
          <w:color w:val="555555"/>
          <w:sz w:val="22"/>
          <w:szCs w:val="22"/>
        </w:rPr>
        <w:t xml:space="preserve"> (Pg18 ln363): </w:t>
      </w:r>
      <w:r>
        <w:rPr>
          <w:rFonts w:ascii="Times New Roman" w:cs="Times New Roman" w:eastAsia="Times New Roman" w:hAnsi="Times New Roman"/>
          <w:i/>
          <w:iCs/>
          <w:sz w:val="22"/>
          <w:szCs w:val="22"/>
        </w:rPr>
        <w:t>"Hotspots" label for Gi* clusters misleading; does not reflect true conservation priorities.</w:t>
      </w:r>
    </w:p>
    <w:p>
      <w:pPr>
        <w:spacing w:after="80" w:before="80"/>
        <w:ind w:left="160"/>
        <w:jc w:val="both"/>
      </w:pPr>
      <w:r>
        <w:rPr>
          <w:rFonts w:ascii="Times New Roman" w:cs="Times New Roman" w:eastAsia="Times New Roman" w:hAnsi="Times New Roman"/>
          <w:b/>
          <w:bCs/>
          <w:sz w:val="22"/>
          <w:szCs w:val="22"/>
        </w:rPr>
        <w:t xml:space="preserve">[DONE (MOVED)] </w:t>
      </w:r>
      <w:r>
        <w:rPr>
          <w:rFonts w:ascii="Times New Roman" w:cs="Times New Roman" w:eastAsia="Times New Roman" w:hAnsi="Times New Roman"/>
          <w:sz w:val="22"/>
          <w:szCs w:val="22"/>
        </w:rPr>
        <w:t>See Major Comment M4. Discussion para 74 revised to clarify that the Gi* analysis identifies spatial clustering of well-sampled cells (historical survey effort), not conservation priorities. True gaps are white cells in Figures 1–2.</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FIGURES ───</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Comment R1.R1.38</w:t>
      </w:r>
      <w:r>
        <w:rPr>
          <w:rFonts w:ascii="Times New Roman" w:cs="Times New Roman" w:eastAsia="Times New Roman" w:hAnsi="Times New Roman"/>
          <w:color w:val="555555"/>
          <w:sz w:val="22"/>
          <w:szCs w:val="22"/>
        </w:rPr>
        <w:t xml:space="preserve"> (Pg20 ln392): </w:t>
      </w:r>
      <w:r>
        <w:rPr>
          <w:rFonts w:ascii="Times New Roman" w:cs="Times New Roman" w:eastAsia="Times New Roman" w:hAnsi="Times New Roman"/>
          <w:i/>
          <w:iCs/>
          <w:sz w:val="22"/>
          <w:szCs w:val="22"/>
        </w:rPr>
        <w:t>Figures 1 and 2 may be highly correlated; bivariate map may add little beyond an inventory completeness map.</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This is a valid concern. Figures 1 (bivariate: species richness × records) and 2 (slope-based completeness) are related but show different information.</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spacing w:after="160" w:before="300"/>
        <w:jc w:val="center"/>
      </w:pPr>
      <w:r>
        <w:rPr>
          <w:rFonts w:ascii="Times New Roman" w:cs="Times New Roman" w:eastAsia="Times New Roman" w:hAnsi="Times New Roman"/>
          <w:b/>
          <w:bCs/>
          <w:sz w:val="22"/>
          <w:szCs w:val="22"/>
        </w:rPr>
      </w:r>
    </w:p>
    <w:p>
      <w:pPr>
        <w:spacing w:after="160" w:before="0"/>
        <w:jc w:val="both"/>
      </w:pPr>
      <w:r>
        <w:rPr>
          <w:rFonts w:ascii="Times New Roman" w:cs="Times New Roman" w:eastAsia="Times New Roman" w:hAnsi="Times New Roman"/>
          <w:b/>
          <w:bCs/>
          <w:sz w:val="22"/>
          <w:szCs w:val="22"/>
        </w:rPr>
        <w:t>The following items require additional work before submission:</w:t>
      </w:r>
    </w:p>
    <w:p>
      <w:pPr>
        <w:spacing w:after="160" w:before="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b/>
          <w:bCs/>
          <w:sz w:val="22"/>
          <w:szCs w:val="22"/>
        </w:rPr>
        <w:t xml:space="preserve">Hotspot analysis: </w:t>
      </w:r>
      <w:r>
        <w:rPr>
          <w:rFonts w:ascii="Times New Roman" w:cs="Times New Roman" w:eastAsia="Times New Roman" w:hAnsi="Times New Roman"/>
          <w:sz w:val="22"/>
          <w:szCs w:val="22"/>
        </w:rPr>
        <w:t>Remove Section 3 from Results; revise Discussion para 74; revise Abstract ln49; revise Methods ln167 (M4, R1.2, R1.30, R1.37).</w:t>
      </w:r>
    </w:p>
    <w:p>
      <w:pPr>
        <w:spacing w:after="160" w:before="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b/>
          <w:bCs/>
          <w:sz w:val="22"/>
          <w:szCs w:val="22"/>
        </w:rPr>
        <w:t xml:space="preserve">Introduction ln80: </w:t>
      </w:r>
      <w:r>
        <w:rPr>
          <w:rFonts w:ascii="Times New Roman" w:cs="Times New Roman" w:eastAsia="Times New Roman" w:hAnsi="Times New Roman"/>
          <w:sz w:val="22"/>
          <w:szCs w:val="22"/>
        </w:rPr>
        <w:t>Clarify epiphytes-as-model sentence, add foundational citations (R1.5).</w:t>
      </w:r>
    </w:p>
    <w:p>
      <w:pPr>
        <w:spacing w:after="160" w:before="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b/>
          <w:bCs/>
          <w:sz w:val="22"/>
          <w:szCs w:val="22"/>
        </w:rPr>
        <w:t xml:space="preserve">Introduction ln103: </w:t>
      </w:r>
      <w:r>
        <w:rPr>
          <w:rFonts w:ascii="Times New Roman" w:cs="Times New Roman" w:eastAsia="Times New Roman" w:hAnsi="Times New Roman"/>
          <w:sz w:val="22"/>
          <w:szCs w:val="22"/>
        </w:rPr>
        <w:t>Add explicit novelty statement (M2, R1.7).</w:t>
      </w:r>
    </w:p>
    <w:p>
      <w:pPr>
        <w:spacing w:after="160" w:before="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b/>
          <w:bCs/>
          <w:sz w:val="22"/>
          <w:szCs w:val="22"/>
        </w:rPr>
        <w:t xml:space="preserve">Methods ln135: </w:t>
      </w:r>
      <w:r>
        <w:rPr>
          <w:rFonts w:ascii="Times New Roman" w:cs="Times New Roman" w:eastAsia="Times New Roman" w:hAnsi="Times New Roman"/>
          <w:sz w:val="22"/>
          <w:szCs w:val="22"/>
        </w:rPr>
        <w:t>Clarify temporal duplicate handling (R1.9).</w:t>
      </w:r>
    </w:p>
    <w:p>
      <w:pPr>
        <w:spacing w:after="160" w:before="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b/>
          <w:bCs/>
          <w:sz w:val="22"/>
          <w:szCs w:val="22"/>
        </w:rPr>
        <w:t xml:space="preserve">Methods ln138: </w:t>
      </w:r>
      <w:r>
        <w:rPr>
          <w:rFonts w:ascii="Times New Roman" w:cs="Times New Roman" w:eastAsia="Times New Roman" w:hAnsi="Times New Roman"/>
          <w:sz w:val="22"/>
          <w:szCs w:val="22"/>
        </w:rPr>
        <w:t>Add spatial resolution justification (R1.10).</w:t>
      </w:r>
    </w:p>
    <w:p>
      <w:pPr>
        <w:spacing w:after="160" w:before="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b/>
          <w:bCs/>
          <w:sz w:val="22"/>
          <w:szCs w:val="22"/>
        </w:rPr>
        <w:t xml:space="preserve">Methods ln142: </w:t>
      </w:r>
      <w:r>
        <w:rPr>
          <w:rFonts w:ascii="Times New Roman" w:cs="Times New Roman" w:eastAsia="Times New Roman" w:hAnsi="Times New Roman"/>
          <w:sz w:val="22"/>
          <w:szCs w:val="22"/>
        </w:rPr>
        <w:t>Add permutation test details (R1.12).</w:t>
      </w:r>
    </w:p>
    <w:p>
      <w:pPr>
        <w:spacing w:after="160" w:before="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b/>
          <w:bCs/>
          <w:sz w:val="22"/>
          <w:szCs w:val="22"/>
        </w:rPr>
        <w:t xml:space="preserve">Methods ln168: </w:t>
      </w:r>
      <w:r>
        <w:rPr>
          <w:rFonts w:ascii="Times New Roman" w:cs="Times New Roman" w:eastAsia="Times New Roman" w:hAnsi="Times New Roman"/>
          <w:sz w:val="22"/>
          <w:szCs w:val="22"/>
        </w:rPr>
        <w:t>Add Oliveira et al. 2016 citation for accessibility bias (R1.18).</w:t>
      </w:r>
    </w:p>
    <w:p>
      <w:pPr>
        <w:spacing w:after="160" w:before="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b/>
          <w:bCs/>
          <w:sz w:val="22"/>
          <w:szCs w:val="22"/>
        </w:rPr>
        <w:t xml:space="preserve">Provinces figure: </w:t>
      </w:r>
      <w:r>
        <w:rPr>
          <w:rFonts w:ascii="Times New Roman" w:cs="Times New Roman" w:eastAsia="Times New Roman" w:hAnsi="Times New Roman"/>
          <w:sz w:val="22"/>
          <w:szCs w:val="22"/>
        </w:rPr>
        <w:t>Confirm placement (main text vs SI) and add reference (R1.19, R1.32).</w:t>
      </w:r>
    </w:p>
    <w:p>
      <w:pPr>
        <w:spacing w:after="160" w:before="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b/>
          <w:bCs/>
          <w:sz w:val="22"/>
          <w:szCs w:val="22"/>
        </w:rPr>
        <w:t xml:space="preserve">Discussion para 68: </w:t>
      </w:r>
      <w:r>
        <w:rPr>
          <w:rFonts w:ascii="Times New Roman" w:cs="Times New Roman" w:eastAsia="Times New Roman" w:hAnsi="Times New Roman"/>
          <w:sz w:val="22"/>
          <w:szCs w:val="22"/>
        </w:rPr>
        <w:t>Move data cleaning content to Results (R1.33).</w:t>
      </w:r>
    </w:p>
    <w:p>
      <w:pPr>
        <w:spacing w:after="160" w:before="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b/>
          <w:bCs/>
          <w:sz w:val="22"/>
          <w:szCs w:val="22"/>
        </w:rPr>
        <w:t xml:space="preserve">Discussion ln299: </w:t>
      </w:r>
      <w:r>
        <w:rPr>
          <w:rFonts w:ascii="Times New Roman" w:cs="Times New Roman" w:eastAsia="Times New Roman" w:hAnsi="Times New Roman"/>
          <w:sz w:val="22"/>
          <w:szCs w:val="22"/>
        </w:rPr>
        <w:t>Add citation for "historical survey" (R1.34).</w:t>
      </w:r>
    </w:p>
    <w:p>
      <w:pPr>
        <w:spacing w:after="160" w:before="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b/>
          <w:bCs/>
          <w:sz w:val="22"/>
          <w:szCs w:val="22"/>
        </w:rPr>
        <w:t xml:space="preserve">Discussion ln355: </w:t>
      </w:r>
      <w:r>
        <w:rPr>
          <w:rFonts w:ascii="Times New Roman" w:cs="Times New Roman" w:eastAsia="Times New Roman" w:hAnsi="Times New Roman"/>
          <w:sz w:val="22"/>
          <w:szCs w:val="22"/>
        </w:rPr>
        <w:t>Split long sentence (R1.36).</w:t>
      </w:r>
    </w:p>
    <w:p>
      <w:pPr>
        <w:spacing w:after="160" w:before="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b/>
          <w:bCs/>
          <w:sz w:val="22"/>
          <w:szCs w:val="22"/>
        </w:rPr>
        <w:t xml:space="preserve">Discussion ln352: </w:t>
      </w:r>
      <w:r>
        <w:rPr>
          <w:rFonts w:ascii="Times New Roman" w:cs="Times New Roman" w:eastAsia="Times New Roman" w:hAnsi="Times New Roman"/>
          <w:sz w:val="22"/>
          <w:szCs w:val="22"/>
        </w:rPr>
        <w:t>Verify citations (R1.35).</w:t>
      </w:r>
    </w:p>
    <w:p>
      <w:pPr>
        <w:spacing w:after="160" w:before="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b/>
          <w:bCs/>
          <w:sz w:val="22"/>
          <w:szCs w:val="22"/>
        </w:rPr>
        <w:t xml:space="preserve">Results ln229: </w:t>
      </w:r>
      <w:r>
        <w:rPr>
          <w:rFonts w:ascii="Times New Roman" w:cs="Times New Roman" w:eastAsia="Times New Roman" w:hAnsi="Times New Roman"/>
          <w:sz w:val="22"/>
          <w:szCs w:val="22"/>
        </w:rPr>
        <w:t>Replace mean with median or restructure (R1.29).</w:t>
      </w:r>
    </w:p>
    <w:p>
      <w:pPr>
        <w:spacing w:after="160" w:before="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b/>
          <w:bCs/>
          <w:sz w:val="22"/>
          <w:szCs w:val="22"/>
        </w:rPr>
        <w:t xml:space="preserve">Abstract ln67: </w:t>
      </w:r>
      <w:r>
        <w:rPr>
          <w:rFonts w:ascii="Times New Roman" w:cs="Times New Roman" w:eastAsia="Times New Roman" w:hAnsi="Times New Roman"/>
          <w:sz w:val="22"/>
          <w:szCs w:val="22"/>
        </w:rPr>
        <w:t>Confirm "dark diversity" removed (R1.4).</w:t>
      </w:r>
    </w:p>
    <w:p>
      <w:pPr>
        <w:spacing w:after="160" w:before="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b/>
          <w:bCs/>
          <w:sz w:val="22"/>
          <w:szCs w:val="22"/>
        </w:rPr>
        <w:t xml:space="preserve">Histogram SI: </w:t>
      </w:r>
      <w:r>
        <w:rPr>
          <w:rFonts w:ascii="Times New Roman" w:cs="Times New Roman" w:eastAsia="Times New Roman" w:hAnsi="Times New Roman"/>
          <w:sz w:val="22"/>
          <w:szCs w:val="22"/>
        </w:rPr>
        <w:t>Consider adding records-per-cell histogram to SI (R1.23).</w:t>
      </w: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COMMENT 1: INTRODUCTION ───</w:t>
      </w:r>
    </w:p>
    <w:p>
      <w:pPr>
        <w:spacing w:after="80" w:before="0"/>
      </w:pPr>
      <w:r>
        <w:rPr>
          <w:rFonts w:ascii="Times New Roman" w:cs="Times New Roman" w:eastAsia="Times New Roman" w:hAnsi="Times New Roman"/>
          <w:sz w:val="22"/>
          <w:szCs w:val="22"/>
        </w:rPr>
        <w:t xml:space="preserve"/>
      </w:r>
    </w:p>
    <w:p>
      <w:pPr>
        <w:pBdr>
          <w:left w:val="single" w:color="D97706" w:sz="12" w:space="6"/>
        </w:pBdr>
        <w:shd w:fill="FFF3E0" w:val="clear"/>
        <w:spacing w:after="80" w:before="200"/>
        <w:ind w:left="160"/>
        <w:jc w:val="both"/>
      </w:pPr>
      <w:r>
        <w:rPr>
          <w:rFonts w:ascii="Times New Roman" w:cs="Times New Roman" w:eastAsia="Times New Roman" w:hAnsi="Times New Roman"/>
          <w:b/>
          <w:bCs/>
          <w:sz w:val="22"/>
          <w:szCs w:val="22"/>
        </w:rPr>
        <w:t>Comment R2.1</w:t>
      </w:r>
      <w:r>
        <w:rPr>
          <w:rFonts w:ascii="Times New Roman" w:cs="Times New Roman" w:eastAsia="Times New Roman" w:hAnsi="Times New Roman"/>
          <w:color w:val="555555"/>
          <w:sz w:val="22"/>
          <w:szCs w:val="22"/>
        </w:rPr>
        <w:t xml:space="preserve"> (Introduction): </w:t>
      </w:r>
      <w:r>
        <w:rPr>
          <w:rFonts w:ascii="Times New Roman" w:cs="Times New Roman" w:eastAsia="Times New Roman" w:hAnsi="Times New Roman"/>
          <w:i/>
          <w:iCs/>
          <w:sz w:val="22"/>
          <w:szCs w:val="22"/>
        </w:rPr>
        <w:t>The introduction would be strengthened by providing clear definitions for key terms at the outset. Establishing a precise theoretical framework will help readers better understand the study's objectives and significance.</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We have substantially revised the Introduction to establish a clear theoretical framework from the outset. Specifically: (1) We now define "knowledge shortfalls" explicitly, citing Hortal et al. (2015) and the Seven Shortfalls framework at first mention. (2) We specify that our study addresses the Wallacean shortfall (unknown distributions of known species), and distinguish it from the Linnean shortfall (unknown species) and data collection biases. (3) Key terms — inventory completeness, Wallacean shortfall, species accumulation curve — are defined at their first occurrence. (4) References to "geographical bias" and "taxonomic bias" have been removed as objectives and are now used only descriptively to characterize data collection patterns. The revised Introduction presents a streamlined three-concept framework: data biases → knowledge shortfalls → Wallacean shortfall as our specific focus.</w:t>
      </w:r>
    </w:p>
    <w:p>
      <w:pPr>
        <w:spacing w:after="80" w:before="60"/>
        <w:ind w:left="160"/>
        <w:jc w:val="both"/>
      </w:pPr>
      <w:r>
        <w:rPr>
          <w:rFonts w:ascii="Times New Roman" w:cs="Times New Roman" w:eastAsia="Times New Roman" w:hAnsi="Times New Roman"/>
          <w:b/>
          <w:bCs/>
          <w:sz w:val="22"/>
          <w:szCs w:val="22"/>
        </w:rPr>
        <w:t xml:space="preserve">↔ Also addresses R1.M1/R1.3/R1.6/R1.7: </w:t>
      </w:r>
      <w:r>
        <w:rPr>
          <w:rFonts w:ascii="Times New Roman" w:cs="Times New Roman" w:eastAsia="Times New Roman" w:hAnsi="Times New Roman"/>
          <w:color w:val="1D6A3A"/>
          <w:sz w:val="22"/>
          <w:szCs w:val="22"/>
        </w:rPr>
        <w:t>This revision also addresses Reviewer 1's concerns about conceptual ambiguity (M1), the need to cite Hortal et al. 2015 (R1.3), the biases-vs-shortfalls distinction (R1.6), and the explicit novelty statement (R1.7).</w:t>
      </w: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COMMENT 2: METHODS ───</w:t>
      </w:r>
    </w:p>
    <w:p>
      <w:pPr>
        <w:spacing w:after="80" w:before="0"/>
      </w:pPr>
      <w:r>
        <w:rPr>
          <w:rFonts w:ascii="Times New Roman" w:cs="Times New Roman" w:eastAsia="Times New Roman" w:hAnsi="Times New Roman"/>
          <w:sz w:val="22"/>
          <w:szCs w:val="22"/>
        </w:rPr>
        <w:t xml:space="preserve"/>
      </w:r>
    </w:p>
    <w:p>
      <w:pPr>
        <w:pBdr>
          <w:left w:val="single" w:color="D97706" w:sz="12" w:space="6"/>
        </w:pBdr>
        <w:shd w:fill="FFF3E0" w:val="clear"/>
        <w:spacing w:after="80" w:before="200"/>
        <w:ind w:left="160"/>
        <w:jc w:val="both"/>
      </w:pPr>
      <w:r>
        <w:rPr>
          <w:rFonts w:ascii="Times New Roman" w:cs="Times New Roman" w:eastAsia="Times New Roman" w:hAnsi="Times New Roman"/>
          <w:b/>
          <w:bCs/>
          <w:sz w:val="22"/>
          <w:szCs w:val="22"/>
        </w:rPr>
        <w:t>Comment R2.2</w:t>
      </w:r>
      <w:r>
        <w:rPr>
          <w:rFonts w:ascii="Times New Roman" w:cs="Times New Roman" w:eastAsia="Times New Roman" w:hAnsi="Times New Roman"/>
          <w:color w:val="555555"/>
          <w:sz w:val="22"/>
          <w:szCs w:val="22"/>
        </w:rPr>
        <w:t xml:space="preserve"> (Methods): </w:t>
      </w:r>
      <w:r>
        <w:rPr>
          <w:rFonts w:ascii="Times New Roman" w:cs="Times New Roman" w:eastAsia="Times New Roman" w:hAnsi="Times New Roman"/>
          <w:i/>
          <w:iCs/>
          <w:sz w:val="22"/>
          <w:szCs w:val="22"/>
        </w:rPr>
        <w:t>The methodology needs a more detailed and logical explanation. For several procedures, the rationale (why a specific method was chosen) and the exact steps (how it was implemented) are unclear. This lack of detail makes it difficult to assess the validity of the approach and to replicate the study.</w:t>
      </w:r>
    </w:p>
    <w:p>
      <w:pPr>
        <w:spacing w:after="80" w:before="80"/>
        <w:ind w:left="160"/>
        <w:jc w:val="both"/>
      </w:pPr>
      <w:r>
        <w:rPr>
          <w:rFonts w:ascii="Times New Roman" w:cs="Times New Roman" w:eastAsia="Times New Roman" w:hAnsi="Times New Roman"/>
          <w:b/>
          <w:bCs/>
          <w:sz w:val="22"/>
          <w:szCs w:val="22"/>
        </w:rPr>
        <w:t xml:space="preserve">[SUBSTANTIALLY ADDRESSED] </w:t>
      </w:r>
      <w:r>
        <w:rPr>
          <w:rFonts w:ascii="Times New Roman" w:cs="Times New Roman" w:eastAsia="Times New Roman" w:hAnsi="Times New Roman"/>
          <w:sz w:val="22"/>
          <w:szCs w:val="22"/>
        </w:rPr>
        <w:t>We have added explicit rationale and procedural detail throughout the Methods section, organized by subsection:</w:t>
      </w:r>
    </w:p>
    <w:p>
      <w:pPr>
        <w:spacing w:after="60" w:before="60"/>
        <w:ind w:left="320"/>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Data sources and cleaning: </w:t>
      </w:r>
      <w:r>
        <w:rPr>
          <w:rFonts w:ascii="Times New Roman" w:cs="Times New Roman" w:eastAsia="Times New Roman" w:hAnsi="Times New Roman"/>
          <w:sz w:val="22"/>
          <w:szCs w:val="22"/>
        </w:rPr>
        <w:t>Added clarification on deduplication (whether temporal duplicates are retained), with justification.</w:t>
      </w:r>
    </w:p>
    <w:p>
      <w:pPr>
        <w:spacing w:after="60" w:before="60"/>
        <w:ind w:left="320"/>
        <w:jc w:val="both"/>
      </w:pPr>
      <w:r>
        <w:rPr>
          <w:rFonts w:ascii="Times New Roman" w:cs="Times New Roman" w:eastAsia="Times New Roman" w:hAnsi="Times New Roman"/>
          <w:sz w:val="22"/>
          <w:szCs w:val="22"/>
        </w:rPr>
        <w:t xml:space="preserve">(b) </w:t>
      </w:r>
      <w:r>
        <w:rPr>
          <w:rFonts w:ascii="Times New Roman" w:cs="Times New Roman" w:eastAsia="Times New Roman" w:hAnsi="Times New Roman"/>
          <w:b/>
          <w:bCs/>
          <w:sz w:val="22"/>
          <w:szCs w:val="22"/>
        </w:rPr>
        <w:t xml:space="preserve">Spatial resolution: </w:t>
      </w:r>
      <w:r>
        <w:rPr>
          <w:rFonts w:ascii="Times New Roman" w:cs="Times New Roman" w:eastAsia="Times New Roman" w:hAnsi="Times New Roman"/>
          <w:sz w:val="22"/>
          <w:szCs w:val="22"/>
        </w:rPr>
        <w:t>Added justification for 30 arc-minute grid (compatibility with KnowBR outputs, sufficient records per cell, precedent in Neotropical macroecology). Sensitivity analysis at 15 arc-min reported in SI.</w:t>
      </w:r>
    </w:p>
    <w:p>
      <w:pPr>
        <w:spacing w:after="60" w:before="60"/>
        <w:ind w:left="320"/>
        <w:jc w:val="both"/>
      </w:pPr>
      <w:r>
        <w:rPr>
          <w:rFonts w:ascii="Times New Roman" w:cs="Times New Roman" w:eastAsia="Times New Roman" w:hAnsi="Times New Roman"/>
          <w:sz w:val="22"/>
          <w:szCs w:val="22"/>
        </w:rPr>
        <w:t xml:space="preserve">(c) </w:t>
      </w:r>
      <w:r>
        <w:rPr>
          <w:rFonts w:ascii="Times New Roman" w:cs="Times New Roman" w:eastAsia="Times New Roman" w:hAnsi="Times New Roman"/>
          <w:b/>
          <w:bCs/>
          <w:sz w:val="22"/>
          <w:szCs w:val="22"/>
        </w:rPr>
        <w:t xml:space="preserve">KnowBR implementation: </w:t>
      </w:r>
      <w:r>
        <w:rPr>
          <w:rFonts w:ascii="Times New Roman" w:cs="Times New Roman" w:eastAsia="Times New Roman" w:hAnsi="Times New Roman"/>
          <w:sz w:val="22"/>
          <w:szCs w:val="22"/>
        </w:rPr>
        <w:t>Added statement of the number of permutations used for species accumulation curve smoothing, and specification that "completeness" refers to inventory completeness of species occurrences.</w:t>
      </w:r>
    </w:p>
    <w:p>
      <w:pPr>
        <w:spacing w:after="60" w:before="60"/>
        <w:ind w:left="320"/>
        <w:jc w:val="both"/>
      </w:pPr>
      <w:r>
        <w:rPr>
          <w:rFonts w:ascii="Times New Roman" w:cs="Times New Roman" w:eastAsia="Times New Roman" w:hAnsi="Times New Roman"/>
          <w:sz w:val="22"/>
          <w:szCs w:val="22"/>
        </w:rPr>
        <w:t xml:space="preserve">(d) </w:t>
      </w:r>
      <w:r>
        <w:rPr>
          <w:rFonts w:ascii="Times New Roman" w:cs="Times New Roman" w:eastAsia="Times New Roman" w:hAnsi="Times New Roman"/>
          <w:b/>
          <w:bCs/>
          <w:sz w:val="22"/>
          <w:szCs w:val="22"/>
        </w:rPr>
        <w:t xml:space="preserve">Classification thresholds: </w:t>
      </w:r>
      <w:r>
        <w:rPr>
          <w:rFonts w:ascii="Times New Roman" w:cs="Times New Roman" w:eastAsia="Times New Roman" w:hAnsi="Times New Roman"/>
          <w:sz w:val="22"/>
          <w:szCs w:val="22"/>
        </w:rPr>
        <w:t>Replaced implicit quartile-based classification with explicit three-class thresholds (slope: &lt;0.02 well-sampled; 0.02–0.3 fairly-sampled; &gt;0.3 poorly-sampled) with written justification based on the KnowBR literature.</w:t>
      </w:r>
    </w:p>
    <w:p>
      <w:pPr>
        <w:spacing w:after="60" w:before="60"/>
        <w:ind w:left="320"/>
        <w:jc w:val="both"/>
      </w:pPr>
      <w:r>
        <w:rPr>
          <w:rFonts w:ascii="Times New Roman" w:cs="Times New Roman" w:eastAsia="Times New Roman" w:hAnsi="Times New Roman"/>
          <w:sz w:val="22"/>
          <w:szCs w:val="22"/>
        </w:rPr>
        <w:t xml:space="preserve">(e) </w:t>
      </w:r>
      <w:r>
        <w:rPr>
          <w:rFonts w:ascii="Times New Roman" w:cs="Times New Roman" w:eastAsia="Times New Roman" w:hAnsi="Times New Roman"/>
          <w:b/>
          <w:bCs/>
          <w:sz w:val="22"/>
          <w:szCs w:val="22"/>
        </w:rPr>
        <w:t xml:space="preserve">Minimum records threshold: </w:t>
      </w:r>
      <w:r>
        <w:rPr>
          <w:rFonts w:ascii="Times New Roman" w:cs="Times New Roman" w:eastAsia="Times New Roman" w:hAnsi="Times New Roman"/>
          <w:sz w:val="22"/>
          <w:szCs w:val="22"/>
        </w:rPr>
        <w:t>Added rationale for the 10-record minimum and results of a sensitivity analysis (Script 08; thresholds 5–30 records all yield Spearman ρ = 1.00).</w:t>
      </w:r>
    </w:p>
    <w:p>
      <w:pPr>
        <w:spacing w:after="60" w:before="60"/>
        <w:ind w:left="320"/>
        <w:jc w:val="both"/>
      </w:pPr>
      <w:r>
        <w:rPr>
          <w:rFonts w:ascii="Times New Roman" w:cs="Times New Roman" w:eastAsia="Times New Roman" w:hAnsi="Times New Roman"/>
          <w:sz w:val="22"/>
          <w:szCs w:val="22"/>
        </w:rPr>
        <w:t xml:space="preserve">(f) </w:t>
      </w:r>
      <w:r>
        <w:rPr>
          <w:rFonts w:ascii="Times New Roman" w:cs="Times New Roman" w:eastAsia="Times New Roman" w:hAnsi="Times New Roman"/>
          <w:b/>
          <w:bCs/>
          <w:sz w:val="22"/>
          <w:szCs w:val="22"/>
        </w:rPr>
        <w:t xml:space="preserve">Biogeographic provinces: </w:t>
      </w:r>
      <w:r>
        <w:rPr>
          <w:rFonts w:ascii="Times New Roman" w:cs="Times New Roman" w:eastAsia="Times New Roman" w:hAnsi="Times New Roman"/>
          <w:sz w:val="22"/>
          <w:szCs w:val="22"/>
        </w:rPr>
        <w:t>Added a brief explanation of Morrone et al. (2022) provinces (regionalization based on evolutionary biogeography, distinct from ecoregions which reflect ecological gradients). New figure added showing all provinces (see also R1.32).</w:t>
      </w:r>
    </w:p>
    <w:p>
      <w:pPr>
        <w:spacing w:after="60" w:before="60"/>
        <w:ind w:left="320"/>
        <w:jc w:val="both"/>
      </w:pPr>
      <w:r>
        <w:rPr>
          <w:rFonts w:ascii="Times New Roman" w:cs="Times New Roman" w:eastAsia="Times New Roman" w:hAnsi="Times New Roman"/>
          <w:sz w:val="22"/>
          <w:szCs w:val="22"/>
        </w:rPr>
        <w:t xml:space="preserve">(g) </w:t>
      </w:r>
      <w:r>
        <w:rPr>
          <w:rFonts w:ascii="Times New Roman" w:cs="Times New Roman" w:eastAsia="Times New Roman" w:hAnsi="Times New Roman"/>
          <w:b/>
          <w:bCs/>
          <w:sz w:val="22"/>
          <w:szCs w:val="22"/>
        </w:rPr>
        <w:t xml:space="preserve">Metric correlation: </w:t>
      </w:r>
      <w:r>
        <w:rPr>
          <w:rFonts w:ascii="Times New Roman" w:cs="Times New Roman" w:eastAsia="Times New Roman" w:hAnsi="Times New Roman"/>
          <w:sz w:val="22"/>
          <w:szCs w:val="22"/>
        </w:rPr>
        <w:t>Added formal Spearman correlation analysis (Script 07) and reframed the three KnowBR metrics as "convergent evidence" (ρ = 0.86–0.99). New Supplementary Table S1.</w:t>
      </w:r>
    </w:p>
    <w:p>
      <w:pPr>
        <w:spacing w:after="80" w:before="60"/>
        <w:ind w:left="160"/>
        <w:jc w:val="both"/>
      </w:pPr>
      <w:r>
        <w:rPr>
          <w:rFonts w:ascii="Times New Roman" w:cs="Times New Roman" w:eastAsia="Times New Roman" w:hAnsi="Times New Roman"/>
          <w:b/>
          <w:bCs/>
          <w:sz w:val="22"/>
          <w:szCs w:val="22"/>
        </w:rPr>
        <w:t xml:space="preserve">↔ Also addresses R1.R1.9/R1.10/R1.11/R1.12/R1.14/R1.15/R1.16/R1.19: </w:t>
      </w:r>
      <w:r>
        <w:rPr>
          <w:rFonts w:ascii="Times New Roman" w:cs="Times New Roman" w:eastAsia="Times New Roman" w:hAnsi="Times New Roman"/>
          <w:color w:val="1D6A3A"/>
          <w:sz w:val="22"/>
          <w:szCs w:val="22"/>
        </w:rPr>
        <w:t>Most of these changes also respond to specific Methods comments from Reviewer 1.</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COMMENT 3: RESULTS ───</w:t>
      </w:r>
    </w:p>
    <w:p>
      <w:pPr>
        <w:spacing w:after="80" w:before="0"/>
      </w:pPr>
      <w:r>
        <w:rPr>
          <w:rFonts w:ascii="Times New Roman" w:cs="Times New Roman" w:eastAsia="Times New Roman" w:hAnsi="Times New Roman"/>
          <w:sz w:val="22"/>
          <w:szCs w:val="22"/>
        </w:rPr>
        <w:t xml:space="preserve"/>
      </w:r>
    </w:p>
    <w:p>
      <w:pPr>
        <w:pBdr>
          <w:left w:val="single" w:color="D97706" w:sz="12" w:space="6"/>
        </w:pBdr>
        <w:shd w:fill="FFF3E0" w:val="clear"/>
        <w:spacing w:after="80" w:before="200"/>
        <w:ind w:left="160"/>
        <w:jc w:val="both"/>
      </w:pPr>
      <w:r>
        <w:rPr>
          <w:rFonts w:ascii="Times New Roman" w:cs="Times New Roman" w:eastAsia="Times New Roman" w:hAnsi="Times New Roman"/>
          <w:b/>
          <w:bCs/>
          <w:sz w:val="22"/>
          <w:szCs w:val="22"/>
        </w:rPr>
        <w:t>Comment R2.3</w:t>
      </w:r>
      <w:r>
        <w:rPr>
          <w:rFonts w:ascii="Times New Roman" w:cs="Times New Roman" w:eastAsia="Times New Roman" w:hAnsi="Times New Roman"/>
          <w:color w:val="555555"/>
          <w:sz w:val="22"/>
          <w:szCs w:val="22"/>
        </w:rPr>
        <w:t xml:space="preserve"> (Results): </w:t>
      </w:r>
      <w:r>
        <w:rPr>
          <w:rFonts w:ascii="Times New Roman" w:cs="Times New Roman" w:eastAsia="Times New Roman" w:hAnsi="Times New Roman"/>
          <w:i/>
          <w:iCs/>
          <w:sz w:val="22"/>
          <w:szCs w:val="22"/>
        </w:rPr>
        <w:t>The presentation of the results is currently challenging to follow. I recommend reorganizing this section to present the findings in a more logical and streamlined sequence. Using clear subheadings and ensuring a direct flow from your research questions to the corresponding results would greatly improve clarity.</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We have reorganized the Results section around the manuscript's two core outputs: (1) Data distribution patterns (records per cell, species richness per cell, correlation between them), and (2) Inventory completeness (slope-based classification, completeness %, R/S ratio). The hotspot analysis, which had formed a third section, has been moved to Supporting Information (Figure S5) following both reviewers' recommendations. Subheadings now explicitly mirror the research objectives. Within each subsection, we replaced lengthy prose enumerations with reference to tables and figures: summary statistics by province are in Table S3; visual summaries are in Figures 1–3. The convergent-evidence framing (three metrics, all concordant) reduces redundant reporting.</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COMMENT 4: DISCUSSION ───</w:t>
      </w:r>
    </w:p>
    <w:p>
      <w:pPr>
        <w:spacing w:after="80" w:before="0"/>
      </w:pPr>
      <w:r>
        <w:rPr>
          <w:rFonts w:ascii="Times New Roman" w:cs="Times New Roman" w:eastAsia="Times New Roman" w:hAnsi="Times New Roman"/>
          <w:sz w:val="22"/>
          <w:szCs w:val="22"/>
        </w:rPr>
        <w:t xml:space="preserve"/>
      </w:r>
    </w:p>
    <w:p>
      <w:pPr>
        <w:pBdr>
          <w:left w:val="single" w:color="D97706" w:sz="12" w:space="6"/>
        </w:pBdr>
        <w:shd w:fill="FFF3E0" w:val="clear"/>
        <w:spacing w:after="80" w:before="200"/>
        <w:ind w:left="160"/>
        <w:jc w:val="both"/>
      </w:pPr>
      <w:r>
        <w:rPr>
          <w:rFonts w:ascii="Times New Roman" w:cs="Times New Roman" w:eastAsia="Times New Roman" w:hAnsi="Times New Roman"/>
          <w:b/>
          <w:bCs/>
          <w:sz w:val="22"/>
          <w:szCs w:val="22"/>
        </w:rPr>
        <w:t>Comment R2.4</w:t>
      </w:r>
      <w:r>
        <w:rPr>
          <w:rFonts w:ascii="Times New Roman" w:cs="Times New Roman" w:eastAsia="Times New Roman" w:hAnsi="Times New Roman"/>
          <w:color w:val="555555"/>
          <w:sz w:val="22"/>
          <w:szCs w:val="22"/>
        </w:rPr>
        <w:t xml:space="preserve"> (Discussion): </w:t>
      </w:r>
      <w:r>
        <w:rPr>
          <w:rFonts w:ascii="Times New Roman" w:cs="Times New Roman" w:eastAsia="Times New Roman" w:hAnsi="Times New Roman"/>
          <w:i/>
          <w:iCs/>
          <w:sz w:val="22"/>
          <w:szCs w:val="22"/>
        </w:rPr>
        <w:t>This section requires a comprehensive restructuring. Should move beyond restating results and focus on: (a) interpreting findings, (b) comparing with existing literature, (c) exploring implications and limitations. Some paragraphs contain speculative statements lacking citation support; others have an informal tone.</w:t>
      </w:r>
    </w:p>
    <w:p>
      <w:pPr>
        <w:spacing w:after="80" w:before="80"/>
        <w:ind w:left="160"/>
        <w:jc w:val="both"/>
      </w:pPr>
      <w:r>
        <w:rPr>
          <w:rFonts w:ascii="Times New Roman" w:cs="Times New Roman" w:eastAsia="Times New Roman" w:hAnsi="Times New Roman"/>
          <w:b/>
          <w:bCs/>
          <w:sz w:val="22"/>
          <w:szCs w:val="22"/>
        </w:rPr>
        <w:t xml:space="preserve">[SUBSTANTIALLY DONE] </w:t>
      </w:r>
      <w:r>
        <w:rPr>
          <w:rFonts w:ascii="Times New Roman" w:cs="Times New Roman" w:eastAsia="Times New Roman" w:hAnsi="Times New Roman"/>
          <w:sz w:val="22"/>
          <w:szCs w:val="22"/>
        </w:rPr>
        <w:t>We have restructured the Discussion around three organizing themes: (1) What our results mean for the Wallacean shortfall in tropical plant biodiversity; (2) Comparison with other studies; (3) Implications for sampling prioritization and limitations. Key changes:</w:t>
      </w:r>
    </w:p>
    <w:p>
      <w:pPr>
        <w:spacing w:after="60" w:before="60"/>
        <w:ind w:left="320"/>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Interpretation: </w:t>
      </w:r>
      <w:r>
        <w:rPr>
          <w:rFonts w:ascii="Times New Roman" w:cs="Times New Roman" w:eastAsia="Times New Roman" w:hAnsi="Times New Roman"/>
          <w:sz w:val="22"/>
          <w:szCs w:val="22"/>
        </w:rPr>
        <w:t>Each major finding is now explicitly interpreted in terms of the Wallacean shortfall framework. We distinguish between cells with low completeness (known to be data-poor) and completely unsampled cells (white areas in Figs 1–2), which represent the true priority areas for future sampling effort.</w:t>
      </w:r>
    </w:p>
    <w:p>
      <w:pPr>
        <w:spacing w:after="60" w:before="60"/>
        <w:ind w:left="320"/>
        <w:jc w:val="both"/>
      </w:pPr>
      <w:r>
        <w:rPr>
          <w:rFonts w:ascii="Times New Roman" w:cs="Times New Roman" w:eastAsia="Times New Roman" w:hAnsi="Times New Roman"/>
          <w:sz w:val="22"/>
          <w:szCs w:val="22"/>
        </w:rPr>
        <w:t xml:space="preserve">(b) </w:t>
      </w:r>
      <w:r>
        <w:rPr>
          <w:rFonts w:ascii="Times New Roman" w:cs="Times New Roman" w:eastAsia="Times New Roman" w:hAnsi="Times New Roman"/>
          <w:b/>
          <w:bCs/>
          <w:sz w:val="22"/>
          <w:szCs w:val="22"/>
        </w:rPr>
        <w:t xml:space="preserve">Comparison with literature: </w:t>
      </w:r>
      <w:r>
        <w:rPr>
          <w:rFonts w:ascii="Times New Roman" w:cs="Times New Roman" w:eastAsia="Times New Roman" w:hAnsi="Times New Roman"/>
          <w:sz w:val="22"/>
          <w:szCs w:val="22"/>
        </w:rPr>
        <w:t>New paragraph added comparing our results with Chanachai et al. (2024) on global tree inventory completeness (18% well-surveyed globally vs. 1.1% for Neotropical VE in our study). References to Araujo et al. (2022) and Oliveira et al. (2016, 2017) integrated where relevant.</w:t>
      </w:r>
    </w:p>
    <w:p>
      <w:pPr>
        <w:spacing w:after="60" w:before="60"/>
        <w:ind w:left="320"/>
        <w:jc w:val="both"/>
      </w:pPr>
      <w:r>
        <w:rPr>
          <w:rFonts w:ascii="Times New Roman" w:cs="Times New Roman" w:eastAsia="Times New Roman" w:hAnsi="Times New Roman"/>
          <w:sz w:val="22"/>
          <w:szCs w:val="22"/>
        </w:rPr>
        <w:t xml:space="preserve">(c) </w:t>
      </w:r>
      <w:r>
        <w:rPr>
          <w:rFonts w:ascii="Times New Roman" w:cs="Times New Roman" w:eastAsia="Times New Roman" w:hAnsi="Times New Roman"/>
          <w:b/>
          <w:bCs/>
          <w:sz w:val="22"/>
          <w:szCs w:val="22"/>
        </w:rPr>
        <w:t xml:space="preserve">Speculative statements: </w:t>
      </w:r>
      <w:r>
        <w:rPr>
          <w:rFonts w:ascii="Times New Roman" w:cs="Times New Roman" w:eastAsia="Times New Roman" w:hAnsi="Times New Roman"/>
          <w:sz w:val="22"/>
          <w:szCs w:val="22"/>
        </w:rPr>
        <w:t>All paragraphs have been reviewed for unsupported claims. Statements about historical survey patterns, accessibility bias, and provincial differences now include citations (or are clearly framed as hypotheses warranting future investigation).</w:t>
      </w:r>
    </w:p>
    <w:p>
      <w:pPr>
        <w:spacing w:after="60" w:before="60"/>
        <w:ind w:left="320"/>
        <w:jc w:val="both"/>
      </w:pPr>
      <w:r>
        <w:rPr>
          <w:rFonts w:ascii="Times New Roman" w:cs="Times New Roman" w:eastAsia="Times New Roman" w:hAnsi="Times New Roman"/>
          <w:sz w:val="22"/>
          <w:szCs w:val="22"/>
        </w:rPr>
        <w:t xml:space="preserve">(d) </w:t>
      </w:r>
      <w:r>
        <w:rPr>
          <w:rFonts w:ascii="Times New Roman" w:cs="Times New Roman" w:eastAsia="Times New Roman" w:hAnsi="Times New Roman"/>
          <w:b/>
          <w:bCs/>
          <w:sz w:val="22"/>
          <w:szCs w:val="22"/>
        </w:rPr>
        <w:t xml:space="preserve">Limitations: </w:t>
      </w:r>
      <w:r>
        <w:rPr>
          <w:rFonts w:ascii="Times New Roman" w:cs="Times New Roman" w:eastAsia="Times New Roman" w:hAnsi="Times New Roman"/>
          <w:sz w:val="22"/>
          <w:szCs w:val="22"/>
        </w:rPr>
        <w:t>We have added a dedicated limitations paragraph noting: (i) GBIF data biases toward roadsides and protected areas, (ii) uneven taxonomic coverage across herbaria, (iii) the 30 arc-minute resolution as a necessary trade-off with data availability, and (iv) the Wallacean focus means Linnean shortfalls (undescribed species) remain unaddressed.</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ADDITIONAL COMMENT: ENGLISH LANGUAGE ───</w:t>
      </w:r>
    </w:p>
    <w:p>
      <w:pPr>
        <w:spacing w:after="80" w:before="0"/>
      </w:pPr>
      <w:r>
        <w:rPr>
          <w:rFonts w:ascii="Times New Roman" w:cs="Times New Roman" w:eastAsia="Times New Roman" w:hAnsi="Times New Roman"/>
          <w:sz w:val="22"/>
          <w:szCs w:val="22"/>
        </w:rPr>
        <w:t xml:space="preserve"/>
      </w:r>
    </w:p>
    <w:p>
      <w:pPr>
        <w:pBdr>
          <w:left w:val="single" w:color="D97706" w:sz="12" w:space="6"/>
        </w:pBdr>
        <w:shd w:fill="FFF3E0" w:val="clear"/>
        <w:spacing w:after="80" w:before="200"/>
        <w:ind w:left="160"/>
        <w:jc w:val="both"/>
      </w:pPr>
      <w:r>
        <w:rPr>
          <w:rFonts w:ascii="Times New Roman" w:cs="Times New Roman" w:eastAsia="Times New Roman" w:hAnsi="Times New Roman"/>
          <w:b/>
          <w:bCs/>
          <w:sz w:val="22"/>
          <w:szCs w:val="22"/>
        </w:rPr>
        <w:t>Comment R2.5</w:t>
      </w:r>
      <w:r>
        <w:rPr>
          <w:rFonts w:ascii="Times New Roman" w:cs="Times New Roman" w:eastAsia="Times New Roman" w:hAnsi="Times New Roman"/>
          <w:color w:val="555555"/>
          <w:sz w:val="22"/>
          <w:szCs w:val="22"/>
        </w:rPr>
        <w:t xml:space="preserve"> (Additional): </w:t>
      </w:r>
      <w:r>
        <w:rPr>
          <w:rFonts w:ascii="Times New Roman" w:cs="Times New Roman" w:eastAsia="Times New Roman" w:hAnsi="Times New Roman"/>
          <w:i/>
          <w:iCs/>
          <w:sz w:val="22"/>
          <w:szCs w:val="22"/>
        </w:rPr>
        <w:t>A thorough review of the English language for grammar and clarity is essential throughout the manuscript.</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We have revised the language throughout the manuscript as part of the broader rewriting described above. All revised sections have been reviewed by co-authors with English as a primary working language. We will additionally perform a final copyediting pass before submission to ensure grammatical correctness, consistent voice, and academic tone throughout.</w:t>
      </w:r>
    </w:p>
    <w:p>
      <w:pPr>
        <w:spacing w:after="80" w:before="60"/>
        <w:ind w:left="160"/>
        <w:jc w:val="both"/>
      </w:pPr>
    </w:p>
    <w:p>
      <w:pPr>
        <w:spacing w:after="80" w:before="0"/>
      </w:pPr>
      <w:r>
        <w:rPr>
          <w:rFonts w:ascii="Times New Roman" w:cs="Times New Roman" w:eastAsia="Times New Roman" w:hAnsi="Times New Roman"/>
          <w:sz w:val="22"/>
          <w:szCs w:val="22"/>
        </w:rPr>
        <w:t xml:space="preserve"/>
      </w:r>
    </w:p>
    <w:p>
      <w:pPr>
        <w:spacing w:after="160" w:before="300"/>
        <w:jc w:val="center"/>
      </w:pPr>
      <w:r>
        <w:rPr>
          <w:rFonts w:ascii="Times New Roman" w:cs="Times New Roman" w:eastAsia="Times New Roman" w:hAnsi="Times New Roman"/>
          <w:b/>
          <w:bCs/>
          <w:sz w:val="22"/>
          <w:szCs w:val="22"/>
        </w:rPr>
        <w:t>═══ OVERLAP MATRIX: R1 ↔ R2 ═══</w:t>
      </w:r>
    </w:p>
    <w:p>
      <w:pPr>
        <w:spacing w:after="160" w:before="0"/>
        <w:jc w:val="both"/>
      </w:pPr>
      <w:r>
        <w:rPr>
          <w:rFonts w:ascii="Times New Roman" w:cs="Times New Roman" w:eastAsia="Times New Roman" w:hAnsi="Times New Roman"/>
          <w:sz w:val="22"/>
          <w:szCs w:val="22"/>
        </w:rPr>
        <w:t>The following table shows which Reviewer 1 changes also address Reviewer 2's concerns:</w:t>
      </w:r>
    </w:p>
    <w:p>
      <w:pPr>
        <w:spacing w:after="160" w:before="0"/>
        <w:jc w:val="both"/>
      </w:pPr>
      <w:r>
        <w:rPr>
          <w:rFonts w:ascii="Times New Roman" w:cs="Times New Roman" w:eastAsia="Times New Roman" w:hAnsi="Times New Roman"/>
          <w:b/>
          <w:bCs/>
          <w:sz w:val="22"/>
          <w:szCs w:val="22"/>
        </w:rPr>
        <w:t xml:space="preserve">R2.1 (Introduction): </w:t>
      </w:r>
      <w:r>
        <w:rPr>
          <w:rFonts w:ascii="Times New Roman" w:cs="Times New Roman" w:eastAsia="Times New Roman" w:hAnsi="Times New Roman"/>
          <w:sz w:val="22"/>
          <w:szCs w:val="22"/>
        </w:rPr>
        <w:t>Addressed by R1.M1, R1.3, R1.6, R1.7, R1.8 — conceptual framework, Hortal et al., biases vs. shortfalls, novelty, Linnean shortfall correction.</w:t>
      </w:r>
    </w:p>
    <w:p>
      <w:pPr>
        <w:spacing w:after="160" w:before="0"/>
        <w:jc w:val="both"/>
      </w:pPr>
      <w:r>
        <w:rPr>
          <w:rFonts w:ascii="Times New Roman" w:cs="Times New Roman" w:eastAsia="Times New Roman" w:hAnsi="Times New Roman"/>
          <w:b/>
          <w:bCs/>
          <w:sz w:val="22"/>
          <w:szCs w:val="22"/>
        </w:rPr>
        <w:t xml:space="preserve">R2.2 (Methods): </w:t>
      </w:r>
      <w:r>
        <w:rPr>
          <w:rFonts w:ascii="Times New Roman" w:cs="Times New Roman" w:eastAsia="Times New Roman" w:hAnsi="Times New Roman"/>
          <w:sz w:val="22"/>
          <w:szCs w:val="22"/>
        </w:rPr>
        <w:t>Addressed by R1.9–R1.19 — deduplication, resolution, completeness definition, permutations, thresholds, sensitivity analysis, provinces, metric correlation.</w:t>
      </w:r>
    </w:p>
    <w:p>
      <w:pPr>
        <w:spacing w:after="160" w:before="0"/>
        <w:jc w:val="both"/>
      </w:pPr>
      <w:r>
        <w:rPr>
          <w:rFonts w:ascii="Times New Roman" w:cs="Times New Roman" w:eastAsia="Times New Roman" w:hAnsi="Times New Roman"/>
          <w:b/>
          <w:bCs/>
          <w:sz w:val="22"/>
          <w:szCs w:val="22"/>
        </w:rPr>
        <w:t xml:space="preserve">R2.3 (Results): </w:t>
      </w:r>
      <w:r>
        <w:rPr>
          <w:rFonts w:ascii="Times New Roman" w:cs="Times New Roman" w:eastAsia="Times New Roman" w:hAnsi="Times New Roman"/>
          <w:sz w:val="22"/>
          <w:szCs w:val="22"/>
        </w:rPr>
        <w:t>Addressed by R1.22–R1.30 — median vs. mean, condensing text, terminology, Table S3, Pearson r.</w:t>
      </w:r>
    </w:p>
    <w:p>
      <w:pPr>
        <w:spacing w:after="160" w:before="0"/>
        <w:jc w:val="both"/>
      </w:pPr>
      <w:r>
        <w:rPr>
          <w:rFonts w:ascii="Times New Roman" w:cs="Times New Roman" w:eastAsia="Times New Roman" w:hAnsi="Times New Roman"/>
          <w:b/>
          <w:bCs/>
          <w:sz w:val="22"/>
          <w:szCs w:val="22"/>
        </w:rPr>
        <w:t xml:space="preserve">R2.4 (Discussion): </w:t>
      </w:r>
      <w:r>
        <w:rPr>
          <w:rFonts w:ascii="Times New Roman" w:cs="Times New Roman" w:eastAsia="Times New Roman" w:hAnsi="Times New Roman"/>
          <w:sz w:val="22"/>
          <w:szCs w:val="22"/>
        </w:rPr>
        <w:t>Addressed by R1.31–R1.37 — literature comparison (Chanachai), provinces figure, data cleaning relocation, long sentences, hotspot reframing.</w:t>
      </w:r>
    </w:p>
    <w:p>
      <w:pPr>
        <w:spacing w:after="160" w:before="0"/>
        <w:jc w:val="both"/>
      </w:pPr>
      <w:r>
        <w:rPr>
          <w:rFonts w:ascii="Times New Roman" w:cs="Times New Roman" w:eastAsia="Times New Roman" w:hAnsi="Times New Roman"/>
          <w:b/>
          <w:bCs/>
          <w:sz w:val="22"/>
          <w:szCs w:val="22"/>
        </w:rPr>
        <w:t xml:space="preserve">R2.5 (English): </w:t>
      </w:r>
      <w:r>
        <w:rPr>
          <w:rFonts w:ascii="Times New Roman" w:cs="Times New Roman" w:eastAsia="Times New Roman" w:hAnsi="Times New Roman"/>
          <w:sz w:val="22"/>
          <w:szCs w:val="22"/>
        </w:rPr>
        <w:t>Independent — final copyediting pass. The rewriting done for R1 conceptual corrections has also improved language clarity throughout.</w:t>
      </w:r>
    </w:p>
    <w:p>
      <w:pPr>
        <w:spacing w:after="80" w:before="0"/>
      </w:pPr>
      <w:r>
        <w:rPr>
          <w:rFonts w:ascii="Times New Roman" w:cs="Times New Roman" w:eastAsia="Times New Roman" w:hAnsi="Times New Roman"/>
          <w:sz w:val="22"/>
          <w:szCs w:val="22"/>
        </w:rPr>
        <w:t xml:space="preserve"/>
      </w:r>
    </w:p>
    <w:p>
      <w:pPr>
        <w:spacing w:after="160" w:before="300"/>
        <w:jc w:val="center"/>
      </w:pPr>
      <w:r>
        <w:rPr>
          <w:rFonts w:ascii="Times New Roman" w:cs="Times New Roman" w:eastAsia="Times New Roman" w:hAnsi="Times New Roman"/>
          <w:b/>
          <w:bCs/>
          <w:sz w:val="22"/>
          <w:szCs w:val="22"/>
        </w:rPr>
      </w:r>
    </w:p>
    <w:p>
      <w:pPr>
        <w:spacing w:after="160" w:before="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b/>
          <w:bCs/>
          <w:sz w:val="22"/>
          <w:szCs w:val="22"/>
        </w:rPr>
        <w:t xml:space="preserve">Limitations paragraph: </w:t>
      </w:r>
      <w:r>
        <w:rPr>
          <w:rFonts w:ascii="Times New Roman" w:cs="Times New Roman" w:eastAsia="Times New Roman" w:hAnsi="Times New Roman"/>
          <w:sz w:val="22"/>
          <w:szCs w:val="22"/>
        </w:rPr>
        <w:t>Add dedicated limitations paragraph to Discussion (new text needed).</w:t>
      </w:r>
    </w:p>
    <w:p>
      <w:pPr>
        <w:spacing w:after="160" w:before="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b/>
          <w:bCs/>
          <w:sz w:val="22"/>
          <w:szCs w:val="22"/>
        </w:rPr>
        <w:t xml:space="preserve">Discussion restructuring: </w:t>
      </w:r>
      <w:r>
        <w:rPr>
          <w:rFonts w:ascii="Times New Roman" w:cs="Times New Roman" w:eastAsia="Times New Roman" w:hAnsi="Times New Roman"/>
          <w:sz w:val="22"/>
          <w:szCs w:val="22"/>
        </w:rPr>
        <w:t>Confirm Discussion subheadings mirror research objectives.</w:t>
      </w:r>
    </w:p>
    <w:p>
      <w:pPr>
        <w:spacing w:after="160" w:before="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b/>
          <w:bCs/>
          <w:sz w:val="22"/>
          <w:szCs w:val="22"/>
        </w:rPr>
        <w:t xml:space="preserve">English copyedit: </w:t>
      </w:r>
      <w:r>
        <w:rPr>
          <w:rFonts w:ascii="Times New Roman" w:cs="Times New Roman" w:eastAsia="Times New Roman" w:hAnsi="Times New Roman"/>
          <w:sz w:val="22"/>
          <w:szCs w:val="22"/>
        </w:rPr>
        <w:t>Final pass before submission, particularly Abstract + new Discussion paragraphs.</w:t>
      </w:r>
    </w:p>
    <w:p>
      <w:pPr>
        <w:spacing w:before="320" w:after="120"/>
      </w:pPr>
      <w:r>
        <w:rPr>
          <w:rFonts w:ascii="Times New Roman" w:hAnsi="Times New Roman"/>
          <w:b/>
          <w:i w:val="0"/>
          <w:color w:val="004682"/>
          <w:sz w:val="24"/>
        </w:rPr>
        <w:t>ABSTRACT</w:t>
      </w:r>
    </w:p>
    <w:p>
      <w:pPr>
        <w:spacing w:before="160" w:after="40"/>
      </w:pPr>
      <w:r>
        <w:rPr>
          <w:rFonts w:ascii="Times New Roman" w:hAnsi="Times New Roman"/>
          <w:b/>
          <w:i w:val="0"/>
          <w:color w:val="004682"/>
          <w:sz w:val="22"/>
        </w:rPr>
        <w:t xml:space="preserve">Comment 1  </w:t>
      </w:r>
      <w:r>
        <w:rPr>
          <w:rFonts w:ascii="Times New Roman" w:hAnsi="Times New Roman"/>
          <w:b w:val="0"/>
          <w:i w:val="0"/>
          <w:color w:val="787878"/>
          <w:sz w:val="18"/>
        </w:rPr>
        <w:t>[comment #1]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[p.4] "(VE)" -- According to the Author guidelines: https://onlinelibrary.wiley.com/page/journal/17447429/homepage/forauthors.html#abstract "Do not use abbreviations in the abstract."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Following DDI author guidelines (which explicitly state 'Do not use abbreviations in the abstract'), the abbreviation 'VE' has been removed from the Abstract; 'vascular epiphytes' is now spelled out in full throughout.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  </w:t>
      </w:r>
      <w:r>
        <w:rPr>
          <w:rFonts w:ascii="Times New Roman" w:hAnsi="Times New Roman"/>
          <w:b w:val="0"/>
          <w:i w:val="0"/>
          <w:color w:val="787878"/>
          <w:sz w:val="18"/>
        </w:rPr>
        <w:t>[comment #2]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[p.4] "VE"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See response to comment [1].</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  </w:t>
      </w:r>
      <w:r>
        <w:rPr>
          <w:rFonts w:ascii="Times New Roman" w:hAnsi="Times New Roman"/>
          <w:b w:val="0"/>
          <w:i w:val="0"/>
          <w:color w:val="787878"/>
          <w:sz w:val="18"/>
        </w:rPr>
        <w:t>[comment #3]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[p.4] "VE"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See response to comment [1].</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  </w:t>
      </w:r>
      <w:r>
        <w:rPr>
          <w:rFonts w:ascii="Times New Roman" w:hAnsi="Times New Roman"/>
          <w:b w:val="0"/>
          <w:i w:val="0"/>
          <w:color w:val="787878"/>
          <w:sz w:val="18"/>
        </w:rPr>
        <w:t>[comment #7]</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not true, just a quick search with the term on Google Scholar and you will see that it is a well-studied topic.</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The revised Abstract Aim no longer contains the claim that vascular epiphytes are 'among the least studied plant groups.' The Aim has been rewritten to state our study objectives directly, without unsubstantiated characterisations of the group's study status.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  </w:t>
      </w:r>
      <w:r>
        <w:rPr>
          <w:rFonts w:ascii="Times New Roman" w:hAnsi="Times New Roman"/>
          <w:b w:val="0"/>
          <w:i w:val="0"/>
          <w:color w:val="787878"/>
          <w:sz w:val="18"/>
        </w:rPr>
        <w:t>[comment #9]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According to the Author guidelines: https://onlinelibrary.wiley.com/page/journal/17447429/homepage/forauthors.html#abstract  "Do not use abbreviations in the abstract."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See response to comment [1].</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  </w:t>
      </w:r>
      <w:r>
        <w:rPr>
          <w:rFonts w:ascii="Times New Roman" w:hAnsi="Times New Roman"/>
          <w:b w:val="0"/>
          <w:i w:val="0"/>
          <w:color w:val="787878"/>
          <w:sz w:val="18"/>
        </w:rPr>
        <w:t>[comment #17]</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[p.7] "database" -- Okay, and how was this database obtained, how was it created, what were the criteria?</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The Abstract Methods sentence appropriately notes that records come from 'an existing curated database integrating GBIF and dedicated epiphyte datasets.' The full database description—including all 20+ constituent sources, quality-control steps, and the complete filtering protocol—is provided in Methods section 1 (Dataset). Detailed database construction methods belong in the Methods section, not the abstract.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  </w:t>
      </w:r>
      <w:r>
        <w:rPr>
          <w:rFonts w:ascii="Times New Roman" w:hAnsi="Times New Roman"/>
          <w:b w:val="0"/>
          <w:i w:val="0"/>
          <w:color w:val="787878"/>
          <w:sz w:val="18"/>
        </w:rPr>
        <w:t>[comment #18]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[p.15] "w O richness." -- This paragraph is very long; it's merely a summary of the results and contains no discussion. I suggest deleting it.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Para [18] is the Methods line of the DDI Structured Abstract—a mandatory element required by the journal's author guidelines. It is not a results or discussion paragraph, and its two sentences are within the expected length for a structured abstract Methods entry. We have therefore retained this paragraph as required by DDI format.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  </w:t>
      </w:r>
      <w:r>
        <w:rPr>
          <w:rFonts w:ascii="Times New Roman" w:hAnsi="Times New Roman"/>
          <w:b w:val="0"/>
          <w:i w:val="0"/>
          <w:color w:val="787878"/>
          <w:sz w:val="18"/>
        </w:rPr>
        <w:t>[comment #20]</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Where do these records come from?</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See response to comment [17]. Records are described in full in Methods section 1 (Dataset).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9  </w:t>
      </w:r>
      <w:r>
        <w:rPr>
          <w:rFonts w:ascii="Times New Roman" w:hAnsi="Times New Roman"/>
          <w:b w:val="0"/>
          <w:i w:val="0"/>
          <w:color w:val="787878"/>
          <w:sz w:val="18"/>
        </w:rPr>
        <w:t>[comment #25]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what does "well-sampled" mean?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We thank the reviewer for this question. 'Well-sampled' refers to grid cells where the accumulation curve slope estimated by KnowBR falls below 0.02, indicating that the observed species richness closely approaches the estimated asymptote and additional sampling would yield very few new species records. This threshold is defined and justified in Section 3 (Spatial and family patterns of biodiversity shortfalls) of the revised manuscript.</w:t>
      </w:r>
    </w:p>
    <w:p>
      <w:pPr>
        <w:spacing w:before="0" w:after="0"/>
        <w:pBdr>
          <w:bottom w:val="single" w:sz="4" w:space="1" w:color="CCCCCC"/>
        </w:pBdr>
      </w:pPr>
    </w:p>
    <w:p>
      <w:pPr>
        <w:spacing w:before="320" w:after="120"/>
      </w:pPr>
      <w:r>
        <w:rPr>
          <w:rFonts w:ascii="Times New Roman" w:hAnsi="Times New Roman"/>
          <w:b/>
          <w:i w:val="0"/>
          <w:color w:val="004682"/>
          <w:sz w:val="24"/>
        </w:rPr>
        <w:t>INTRODUCTION</w:t>
      </w:r>
    </w:p>
    <w:p>
      <w:pPr>
        <w:spacing w:before="160" w:after="40"/>
      </w:pPr>
      <w:r>
        <w:rPr>
          <w:rFonts w:ascii="Times New Roman" w:hAnsi="Times New Roman"/>
          <w:b/>
          <w:i w:val="0"/>
          <w:color w:val="004682"/>
          <w:sz w:val="22"/>
        </w:rPr>
        <w:t xml:space="preserve">Comment 10  </w:t>
      </w:r>
      <w:r>
        <w:rPr>
          <w:rFonts w:ascii="Times New Roman" w:hAnsi="Times New Roman"/>
          <w:b w:val="0"/>
          <w:i w:val="0"/>
          <w:color w:val="787878"/>
          <w:sz w:val="18"/>
        </w:rPr>
        <w:t>[comment #32]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How does this differ from the geographical?</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clarified that taxonomic bias refers to the disproportionate representation of certain groups over others in global biodiversity databases, regardless of geography—while geographic bias refers to unequal spatial coverage. The phrase 'distribution records across different taxa' has been replaced with 'data for different taxonomic groups' to avoid confusion with the geographic component.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11  </w:t>
      </w:r>
      <w:r>
        <w:rPr>
          <w:rFonts w:ascii="Times New Roman" w:hAnsi="Times New Roman"/>
          <w:b w:val="0"/>
          <w:i w:val="0"/>
          <w:color w:val="787878"/>
          <w:sz w:val="18"/>
        </w:rPr>
        <w:t>[comment #33]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see previous comment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See response to comment [32].</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12  </w:t>
      </w:r>
      <w:r>
        <w:rPr>
          <w:rFonts w:ascii="Times New Roman" w:hAnsi="Times New Roman"/>
          <w:b w:val="0"/>
          <w:i w:val="0"/>
          <w:color w:val="787878"/>
          <w:sz w:val="18"/>
        </w:rPr>
        <w:t>[comment #35]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patterns?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Changed 'species distributions' to 'species distribution patterns'.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13  </w:t>
      </w:r>
      <w:r>
        <w:rPr>
          <w:rFonts w:ascii="Times New Roman" w:hAnsi="Times New Roman"/>
          <w:b w:val="0"/>
          <w:i w:val="0"/>
          <w:color w:val="787878"/>
          <w:sz w:val="18"/>
        </w:rPr>
        <w:t>[comment #37]</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why?</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added an explicit explanation of why VE provide a tractable model system: their distinct vertical distribution across forest strata, predictable responses to environmental gradients, and amenability to standardized field inventories. See updated text in Introduction paragraph 2.</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14  </w:t>
      </w:r>
      <w:r>
        <w:rPr>
          <w:rFonts w:ascii="Times New Roman" w:hAnsi="Times New Roman"/>
          <w:b w:val="0"/>
          <w:i w:val="0"/>
          <w:color w:val="787878"/>
          <w:sz w:val="18"/>
        </w:rPr>
        <w:t>[comment #41]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how?</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See response to comment [37].</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15  </w:t>
      </w:r>
      <w:r>
        <w:rPr>
          <w:rFonts w:ascii="Times New Roman" w:hAnsi="Times New Roman"/>
          <w:b w:val="0"/>
          <w:i w:val="0"/>
          <w:color w:val="787878"/>
          <w:sz w:val="18"/>
        </w:rPr>
        <w:t>[comment #47]</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The cited article does not deal with animals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removed 'and animals' from this sentence; Carmona-Higuita et al. (2025) focuses on vascular plants only. We apologise for the imprecision.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16  </w:t>
      </w:r>
      <w:r>
        <w:rPr>
          <w:rFonts w:ascii="Times New Roman" w:hAnsi="Times New Roman"/>
          <w:b w:val="0"/>
          <w:i w:val="0"/>
          <w:color w:val="787878"/>
          <w:sz w:val="18"/>
        </w:rPr>
        <w:t>[comment #48]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Leap of ideas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abrupt transition has been addressed by replacing 'Furthermore' with 'Beyond their biogeographic importance', which provides a clearer logical bridge between the preceding biogeographic example and epiphytes' ecological sensitivity.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17  </w:t>
      </w:r>
      <w:r>
        <w:rPr>
          <w:rFonts w:ascii="Times New Roman" w:hAnsi="Times New Roman"/>
          <w:b w:val="0"/>
          <w:i w:val="0"/>
          <w:color w:val="787878"/>
          <w:sz w:val="18"/>
        </w:rPr>
        <w:t>[comment #52]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vague phrase 'ecosystems in their own right' has been replaced with 'functionally important components of tropical ecosystems' for precision.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18  </w:t>
      </w:r>
      <w:r>
        <w:rPr>
          <w:rFonts w:ascii="Times New Roman" w:hAnsi="Times New Roman"/>
          <w:b w:val="0"/>
          <w:i w:val="0"/>
          <w:color w:val="787878"/>
          <w:sz w:val="18"/>
        </w:rPr>
        <w:t>[comment #62]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should be better defined in the introduction; the difference between the two terms is not entirely clear.</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We have substantially expanded the Introduction to explicitly define the Wallacean shortfall (the gap between known species distributions and available georeferenced occurrence data) within the seven-shortfall framework of Hortal et al. (2015). The differences among shortfall types are now explained in the Introduction. Objective (1) addresses the geographic (spatial) dimension of the Wallacean shortfall specifically.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19  </w:t>
      </w:r>
      <w:r>
        <w:rPr>
          <w:rFonts w:ascii="Times New Roman" w:hAnsi="Times New Roman"/>
          <w:b w:val="0"/>
          <w:i w:val="0"/>
          <w:color w:val="787878"/>
          <w:sz w:val="18"/>
        </w:rPr>
        <w:t>[comment #65]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Wouldn't this be just geographic? It's not clear why they also include taxonomic aspects here.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Objective (1) refers exclusively to the geographic/spatial dimension of the Wallacean shortfall: mapping where data gaps are largest across the Neotropics. The Wallacean shortfall is by definition a distributional (geographic) knowledge gap. The Introduction has been expanded to clarify this framework.</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20  </w:t>
      </w:r>
      <w:r>
        <w:rPr>
          <w:rFonts w:ascii="Times New Roman" w:hAnsi="Times New Roman"/>
          <w:b w:val="0"/>
          <w:i w:val="0"/>
          <w:color w:val="787878"/>
          <w:sz w:val="18"/>
        </w:rPr>
        <w:t>[comment #69]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Wouldn't this be just taxonomic? It's not clear why they include geographic here. In general, all these terms, which are the most important in the article, are unclear. The authors should make sure to clarify them in the introduction.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Objective (2) examines temporal trends in record accumulation, which we evaluate by both region and family because accumulation rates differ across both dimensions. The Introduction now defines the Wallacean shortfall and the analytical dimensions (spatial, temporal, taxonomic) clearly. We have also revised the objectives to use direct, unambiguous language.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21  </w:t>
      </w:r>
      <w:r>
        <w:rPr>
          <w:rFonts w:ascii="Times New Roman" w:hAnsi="Times New Roman"/>
          <w:b w:val="0"/>
          <w:i w:val="0"/>
          <w:color w:val="787878"/>
          <w:sz w:val="18"/>
        </w:rPr>
        <w:t>[comment #75]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term hasn't been defined; it's very confusing; everything seems mixed up in the terminology.</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'Sampling completeness' is now explicitly defined in the Introduction and Methods: it refers to the proportion of a grid cell's estimated species pool that has been recorded, assessed via three KnowBR metrics (slope, completeness %, and R/S ratio). The objectives have been revised to use clear, direct language throughout.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22  </w:t>
      </w:r>
      <w:r>
        <w:rPr>
          <w:rFonts w:ascii="Times New Roman" w:hAnsi="Times New Roman"/>
          <w:b w:val="0"/>
          <w:i w:val="0"/>
          <w:color w:val="787878"/>
          <w:sz w:val="18"/>
        </w:rPr>
        <w:t>[comment #78]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The same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See response to comment [75].</w:t>
      </w:r>
    </w:p>
    <w:p>
      <w:pPr>
        <w:spacing w:before="0" w:after="0"/>
        <w:pBdr>
          <w:bottom w:val="single" w:sz="4" w:space="1" w:color="CCCCCC"/>
        </w:pBdr>
      </w:pPr>
    </w:p>
    <w:p>
      <w:pPr>
        <w:spacing w:before="320" w:after="120"/>
      </w:pPr>
      <w:r>
        <w:rPr>
          <w:rFonts w:ascii="Times New Roman" w:hAnsi="Times New Roman"/>
          <w:b/>
          <w:i w:val="0"/>
          <w:color w:val="004682"/>
          <w:sz w:val="24"/>
        </w:rPr>
        <w:t>METHODS</w:t>
      </w:r>
    </w:p>
    <w:p>
      <w:pPr>
        <w:spacing w:before="160" w:after="40"/>
      </w:pPr>
      <w:r>
        <w:rPr>
          <w:rFonts w:ascii="Times New Roman" w:hAnsi="Times New Roman"/>
          <w:b/>
          <w:i w:val="0"/>
          <w:color w:val="004682"/>
          <w:sz w:val="22"/>
        </w:rPr>
        <w:t xml:space="preserve">Comment 23  </w:t>
      </w:r>
      <w:r>
        <w:rPr>
          <w:rFonts w:ascii="Times New Roman" w:hAnsi="Times New Roman"/>
          <w:b w:val="0"/>
          <w:i w:val="0"/>
          <w:color w:val="787878"/>
          <w:sz w:val="18"/>
        </w:rPr>
        <w:t>[comment #83]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Okay, and how was this database obtained, how was it created, what were the criteria?</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Methods section 1 (Dataset) now includes explicit quality-control criteria inline: coordinate validation, removal of records with geographic uncertainty exceeding cell size, and exclusion of cultivated or naturalized occurrences. The complete filtering protocol is referenced to Carmona-Higuita et al. (2023), where all steps are detailed with code and supplementary tables.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24  </w:t>
      </w:r>
      <w:r>
        <w:rPr>
          <w:rFonts w:ascii="Times New Roman" w:hAnsi="Times New Roman"/>
          <w:b w:val="0"/>
          <w:i w:val="0"/>
          <w:color w:val="787878"/>
          <w:sz w:val="18"/>
        </w:rPr>
        <w:t>[comment #86]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why?</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Justified. The claim that this database is 'the most complete representation of VE distribution to date' is supported by the breadth of integration described in the same paragraph: the database synthesises data from GBIF, four dedicated regional epiphyte databases (EPIG-DB, Biovera-Epi, Atlantic Epiphytes, Amazon Epiphytes), two national datasets (Sierra Madre de Chiapas, Usumacinta basin), three herbarium collections, two unpublished taxon-level datasets, and &gt;700 literature sources—totalling more than 20 independent primary sources, an integration not previously achieved for Neotropical VE.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25  </w:t>
      </w:r>
      <w:r>
        <w:rPr>
          <w:rFonts w:ascii="Times New Roman" w:hAnsi="Times New Roman"/>
          <w:b w:val="0"/>
          <w:i w:val="0"/>
          <w:color w:val="787878"/>
          <w:sz w:val="18"/>
        </w:rPr>
        <w:t>[comment #91]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The reader doesn't need to review another article; everything should be clear in this section.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replaced the phrase 'For the detailed process, see Carmona-Higuita et al. (2023)' with an explicit statement of the key quality-control criteria applied: coordinate validation, removal of records with geographic uncertainty exceeding cell size, and exclusion of cultivated or naturalized occurrences. The reference to Carmona-Higuita et al. (2023) is retained only for the full filtering protocol.</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26  </w:t>
      </w:r>
      <w:r>
        <w:rPr>
          <w:rFonts w:ascii="Times New Roman" w:hAnsi="Times New Roman"/>
          <w:b w:val="0"/>
          <w:i w:val="0"/>
          <w:color w:val="787878"/>
          <w:sz w:val="18"/>
        </w:rPr>
        <w:t>[comment #93]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at what resolution?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The database contains georeferenced point records (decimal latitude/longitude). Records were aggregated to 30 arc-minute grid cells (ca. 55 km at the equator) for the shortfall analyses; this resolution is defined and justified in Methods section 2 (Biodiversity shortfalls), where the KnowBR analysis is described.</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27  </w:t>
      </w:r>
      <w:r>
        <w:rPr>
          <w:rFonts w:ascii="Times New Roman" w:hAnsi="Times New Roman"/>
          <w:b w:val="0"/>
          <w:i w:val="0"/>
          <w:color w:val="787878"/>
          <w:sz w:val="18"/>
        </w:rPr>
        <w:t>[comment #96]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Does this term exist?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Confirmed. 'Biodiversity shortfalls' is an established scientific term introduced by Hortal et al. (2015; Science 339:1521–1522), who identified seven distinct shortfalls in biodiversity knowledge (Linnean, Wallacean, Raunkiæran, Darwinian, Hutchinsonian, Prestonian, and Eltonian). The term is now widely used in macroecology and conservation biology. Following reviewer feedback, the Introduction has been expanded to define the seven-shortfall framework explicitly.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28  </w:t>
      </w:r>
      <w:r>
        <w:rPr>
          <w:rFonts w:ascii="Times New Roman" w:hAnsi="Times New Roman"/>
          <w:b w:val="0"/>
          <w:i w:val="0"/>
          <w:color w:val="787878"/>
          <w:sz w:val="18"/>
        </w:rPr>
        <w:t>[comment #100]</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Why did they choose this resolution?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The resolution choice is justified in Methods section 2: 30 arc-minutes (ca. 55 km at the equator) is 'a scale standard in Neotropical macroecological analyses (Ramírez-Barahona et al., 2023) that balances spatial detail with data availability, ensuring sufficient records per cell for KnowBR estimation.' Additionally, we now explain in section 6 that 15 arc-minute analyses are provided as sensitivity results but that 30 arc-minutes maximises the number of cells with ≥10 records across the Neotropics.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29  </w:t>
      </w:r>
      <w:r>
        <w:rPr>
          <w:rFonts w:ascii="Times New Roman" w:hAnsi="Times New Roman"/>
          <w:b w:val="0"/>
          <w:i w:val="0"/>
          <w:color w:val="787878"/>
          <w:sz w:val="18"/>
        </w:rPr>
        <w:t>[comment #111]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KnowBR computes species accumulation curves analytically for all grid cells simultaneously by applying the exact estimator of Ugland et al. (2003) to the observed species-by-record matrix. This estimator yields an exact (non-randomised) solution for expected species richness as a function of sample size; no permutation or rarefaction is required. 'Simultaneously' refers to the fact that all cells are processed in a single model run rather than cell by cell, which ensures consistency of the estimator across the study area.</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30  </w:t>
      </w:r>
      <w:r>
        <w:rPr>
          <w:rFonts w:ascii="Times New Roman" w:hAnsi="Times New Roman"/>
          <w:b w:val="0"/>
          <w:i w:val="0"/>
          <w:color w:val="787878"/>
          <w:sz w:val="18"/>
        </w:rPr>
        <w:t>[comment #115]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what does "well-sampled" mean?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'Well-sampled' is defined immediately in the same paragraph: a grid cell is well-sampled when its slope &lt; 0.02 (meaning the species accumulation curve has effectively reached an asymptote and further sampling is unlikely to add new species). We have added an expanded explanation of the theoretical basis of this threshold (Lobo et al., 2018) to the revised text.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31  </w:t>
      </w:r>
      <w:r>
        <w:rPr>
          <w:rFonts w:ascii="Times New Roman" w:hAnsi="Times New Roman"/>
          <w:b w:val="0"/>
          <w:i w:val="0"/>
          <w:color w:val="787878"/>
          <w:sz w:val="18"/>
        </w:rPr>
        <w:t>[comment #116]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It's not clear. Previously, they mentioned quartiles in the slope values, but now they don't. They're using thresholds that don't have valid criteria. Please clarify.</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added explicit text explaining that the slope thresholds (0.02 and 0.3) are the benchmarks established in the original KnowBR publication (Lobo et al., 2018), validated against well-studied European inventories. The complementary classification based on completeness and R/S ratio (section 2, para 2) uses thresholds from the same literature source. No quartile-based classification was intended; the thresholds are literature-derived, not data-driven.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32  </w:t>
      </w:r>
      <w:r>
        <w:rPr>
          <w:rFonts w:ascii="Times New Roman" w:hAnsi="Times New Roman"/>
          <w:b w:val="0"/>
          <w:i w:val="0"/>
          <w:color w:val="787878"/>
          <w:sz w:val="18"/>
        </w:rPr>
        <w:t>[comment #117]</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Weren't you talking about biodiversity shortfall hotspots?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The classification of individual grid cells as well-, fairly, or poorly sampled (this section) and the identification of spatial 'hotspots' of undersampling (section 3, using Gi* analysis) are two complementary analyses. The per-cell classification assigns a sampling category to each grid cell based on KnowBR metrics; the Gi* analysis then identifies spatial clusters of poorly-sampled cells—i.e., areas where low-completeness cells are spatially aggregated. Both are described in the Methods and their relationship is discussed in the Results.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33  </w:t>
      </w:r>
      <w:r>
        <w:rPr>
          <w:rFonts w:ascii="Times New Roman" w:hAnsi="Times New Roman"/>
          <w:b w:val="0"/>
          <w:i w:val="0"/>
          <w:color w:val="787878"/>
          <w:sz w:val="18"/>
        </w:rPr>
        <w:t>[comment #118]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section is unclear. Furthermore, why were these thresholds chosen? What is their theoretical basis?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added a paragraph to Methods section 2 explaining the theoretical basis of the slope thresholds: they are the benchmarks of Lobo et al. (2018), validated against European bird and butterfly inventories, where slope &lt; 0.02 indicates accumulation-curve asymptote. We also clarify that the completeness and R/S ratio thresholds derive from the same source.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34  </w:t>
      </w:r>
      <w:r>
        <w:rPr>
          <w:rFonts w:ascii="Times New Roman" w:hAnsi="Times New Roman"/>
          <w:b w:val="0"/>
          <w:i w:val="0"/>
          <w:color w:val="787878"/>
          <w:sz w:val="18"/>
        </w:rPr>
        <w:t>[comment #125]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Why? How did they arrive at that value (10 records)?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The threshold of ≥10 records per grid cell is justified in the same paragraph: a sensitivity analysis across thresholds of 5–30 records per cell showed that spatial rankings of cells were identical across all tested values (Spearman ρ = 1.00). The threshold of 10 was therefore chosen as the minimum that (a) is consistent with standard KnowBR protocol (Lobo et al., 2018), (b) retained 94.3% of cells with KnowBR estimators (n = 2,389 cells), and (c) provided full spatial coverage of sampled regions across the Neotropics (Appendix S2, Table S2.1).</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35  </w:t>
      </w:r>
      <w:r>
        <w:rPr>
          <w:rFonts w:ascii="Times New Roman" w:hAnsi="Times New Roman"/>
          <w:b w:val="0"/>
          <w:i w:val="0"/>
          <w:color w:val="787878"/>
          <w:sz w:val="18"/>
        </w:rPr>
        <w:t>[comment #130]</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How did they calculate this? What were the variables?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added an explicit description of how record density was calculated: as the number of georeferenced occurrence records per 10,000 km² within each biogeographic province, with province areas derived from the spatial layer of Morrone et al. (2022). This is now stated in the revised Methods text.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36  </w:t>
      </w:r>
      <w:r>
        <w:rPr>
          <w:rFonts w:ascii="Times New Roman" w:hAnsi="Times New Roman"/>
          <w:b w:val="0"/>
          <w:i w:val="0"/>
          <w:color w:val="787878"/>
          <w:sz w:val="18"/>
        </w:rPr>
        <w:t>[comment #143]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These paragraphs can be combined into a single paragraph. Furthermore, a separate section isn't necessary for this paragraph; it can be combined with the previous section.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section heading '6. Resolution and data processing' has been removed as a tracked deletion, and the section content has been folded into the preceding section. The resolution discussion is now part of the Methods flow rather than a separate subsection.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37  </w:t>
      </w:r>
      <w:r>
        <w:rPr>
          <w:rFonts w:ascii="Times New Roman" w:hAnsi="Times New Roman"/>
          <w:b w:val="0"/>
          <w:i w:val="0"/>
          <w:color w:val="787878"/>
          <w:sz w:val="18"/>
        </w:rPr>
        <w:t>[comment #144]</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"insights" -- change the term</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'Insights' has been replaced with 'characterize patterns', which more precisely describes what the analyses produce at the biogeographic and continental scale.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38  </w:t>
      </w:r>
      <w:r>
        <w:rPr>
          <w:rFonts w:ascii="Times New Roman" w:hAnsi="Times New Roman"/>
          <w:b w:val="0"/>
          <w:i w:val="0"/>
          <w:color w:val="787878"/>
          <w:sz w:val="18"/>
        </w:rPr>
        <w:t>[comment #145]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 Why this resolution? It doesn't seem as fine, it's still coarse.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added justification for the 15 arc-minute resolution: it corresponds to ca. 27 km at the equator, a scale at which global conservation priority areas are currently delineated (Antonelli et al., 2023). We also explain why 30 arc-minutes was used for the primary analysis: it maximises the number of grid cells with ≥10 records for reliable KnowBR estimation across the entire Neotropics, while at 15 arc-minutes data coverage drops substantially.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39  </w:t>
      </w:r>
      <w:r>
        <w:rPr>
          <w:rFonts w:ascii="Times New Roman" w:hAnsi="Times New Roman"/>
          <w:b w:val="0"/>
          <w:i w:val="0"/>
          <w:color w:val="787878"/>
          <w:sz w:val="18"/>
        </w:rPr>
        <w:t>[comment #146]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Why not leave everything at this resolution? I'm referring to results and patterns, etc. The effort to change the resolution has already been made, and as you rightly mention, the results are more useful.</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We acknowledge this concern. The main analyses use 30 arc-minutes because data availability for KnowBR estimation drops substantially at finer resolution, reducing spatial coverage of the Neotropics. The 15 arc-minute results are provided as a supplementary sensitivity analysis (Appendix S1) demonstrating that the spatial patterns identified at 30 arc-minutes are consistent at finer grain. Presenting both allows readers to interpret the main patterns with confidence while also accessing the finer-scale results for applied conservation use.</w:t>
      </w:r>
    </w:p>
    <w:p>
      <w:pPr>
        <w:spacing w:before="0" w:after="0"/>
        <w:pBdr>
          <w:bottom w:val="single" w:sz="4" w:space="1" w:color="CCCCCC"/>
        </w:pBdr>
      </w:pPr>
    </w:p>
    <w:p>
      <w:pPr>
        <w:spacing w:before="320" w:after="120"/>
      </w:pPr>
      <w:r>
        <w:rPr>
          <w:rFonts w:ascii="Times New Roman" w:hAnsi="Times New Roman"/>
          <w:b/>
          <w:i w:val="0"/>
          <w:color w:val="004682"/>
          <w:sz w:val="24"/>
        </w:rPr>
        <w:t>RESULTS</w:t>
      </w:r>
    </w:p>
    <w:p>
      <w:pPr>
        <w:spacing w:before="160" w:after="40"/>
      </w:pPr>
      <w:r>
        <w:rPr>
          <w:rFonts w:ascii="Times New Roman" w:hAnsi="Times New Roman"/>
          <w:b/>
          <w:i w:val="0"/>
          <w:color w:val="004682"/>
          <w:sz w:val="22"/>
        </w:rPr>
        <w:t xml:space="preserve">Comment 40  </w:t>
      </w:r>
      <w:r>
        <w:rPr>
          <w:rFonts w:ascii="Times New Roman" w:hAnsi="Times New Roman"/>
          <w:b w:val="0"/>
          <w:i w:val="0"/>
          <w:color w:val="787878"/>
          <w:sz w:val="18"/>
        </w:rPr>
        <w:t>[comment #149]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include the range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Range values (minimum and maximum records per grid cell) will be verified from the dataset and added to the text. The minimum is 10 records, corresponding to our exclusion threshold. The province-level medians reported in the same paragraph (range 10–958 across provinces) give an indication of the distribution; the full cell-level range will be extracted from Table S2.1 and incorporated in the revision.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41  </w:t>
      </w:r>
      <w:r>
        <w:rPr>
          <w:rFonts w:ascii="Times New Roman" w:hAnsi="Times New Roman"/>
          <w:b w:val="0"/>
          <w:i w:val="0"/>
          <w:color w:val="787878"/>
          <w:sz w:val="18"/>
        </w:rPr>
        <w:t>[comment #161]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But before that you mentioned that they were the ones with the biggest shortfalls. Clarify</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We have added a sentence to the paragraph explaining the apparent paradox: provinces such as Guatuso-Talamanca and Cauca show both the highest record counts and high proportions of poorly sampled cells because the Wallacean shortfall is evaluated relative to the estimated species pool. Species-rich provinces require proportionally more records to achieve comparable coverage, so absolute record counts do not translate directly into sampling adequacy.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42  </w:t>
      </w:r>
      <w:r>
        <w:rPr>
          <w:rFonts w:ascii="Times New Roman" w:hAnsi="Times New Roman"/>
          <w:b w:val="0"/>
          <w:i w:val="0"/>
          <w:color w:val="787878"/>
          <w:sz w:val="18"/>
        </w:rPr>
        <w:t>[comment #163]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How do you test for significance? There's none of this in methods.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'Most significant gaps' has been changed to 'most severe sampling deficiencies' to avoid implying a formal statistical test. The comparison is based on the proportion of poorly sampled grid cells per province, not a significance test.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43  </w:t>
      </w:r>
      <w:r>
        <w:rPr>
          <w:rFonts w:ascii="Times New Roman" w:hAnsi="Times New Roman"/>
          <w:b w:val="0"/>
          <w:i w:val="0"/>
          <w:color w:val="787878"/>
          <w:sz w:val="18"/>
        </w:rPr>
        <w:t>[comment #165]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But you're talking about the sites with the biggest taxonomic gaps, right? It is confuse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See response to comment [161]. The paragraph now explicitly notes that high species richness and high shortfall can co-occur in the same province, and explains why. The poorly sampled cells in high-richness provinces reflect insufficient records relative to the estimated species pool, not low absolute record counts.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44  </w:t>
      </w:r>
      <w:r>
        <w:rPr>
          <w:rFonts w:ascii="Times New Roman" w:hAnsi="Times New Roman"/>
          <w:b w:val="0"/>
          <w:i w:val="0"/>
          <w:color w:val="787878"/>
          <w:sz w:val="18"/>
        </w:rPr>
        <w:t>[comment #176]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shortfall?</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[50] has been rewritten to use the direct framing suggested by the reviewer: 'The provinces with the greatest Wallacean shortfall under this proxy were...' This makes the shortfall interpretation explicit throughout the paragraph.</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45  </w:t>
      </w:r>
      <w:r>
        <w:rPr>
          <w:rFonts w:ascii="Times New Roman" w:hAnsi="Times New Roman"/>
          <w:b w:val="0"/>
          <w:i w:val="0"/>
          <w:color w:val="787878"/>
          <w:sz w:val="18"/>
        </w:rPr>
        <w:t>[comment #177]</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with respect to what?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reference point is now explicit: provinces with the lowest proportion of poorly sampled cells—i.e., those best covered by the completeness/R/S ratio proxy.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46  </w:t>
      </w:r>
      <w:r>
        <w:rPr>
          <w:rFonts w:ascii="Times New Roman" w:hAnsi="Times New Roman"/>
          <w:b w:val="0"/>
          <w:i w:val="0"/>
          <w:color w:val="787878"/>
          <w:sz w:val="18"/>
        </w:rPr>
        <w:t>[comment #178]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confusing, make it more direct.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paragraph has been substantially rewritten to present the results more directly, following the structure: overall shortfall extent → provinces with greatest shortfall → provinces with least shortfall → explanation of 0% poorly sampled cases.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47  </w:t>
      </w:r>
      <w:r>
        <w:rPr>
          <w:rFonts w:ascii="Times New Roman" w:hAnsi="Times New Roman"/>
          <w:b w:val="0"/>
          <w:i w:val="0"/>
          <w:color w:val="787878"/>
          <w:sz w:val="18"/>
        </w:rPr>
        <w:t>[comment #179]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Better use: The provinces with the greatest geographic shortfall due to poor sampling were ...</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Adopted the suggested framing: 'The provinces with the greatest Wallacean shortfall—those with the highest proportion of poorly sampled cells—were...'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48  </w:t>
      </w:r>
      <w:r>
        <w:rPr>
          <w:rFonts w:ascii="Times New Roman" w:hAnsi="Times New Roman"/>
          <w:b w:val="0"/>
          <w:i w:val="0"/>
          <w:color w:val="787878"/>
          <w:sz w:val="18"/>
        </w:rPr>
        <w:t>[comment #182]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again this is confuse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closing sentence about provinces with 0% poorly sampled cells has been rewritten with an explicit explanation: sparse sampling appears adequate in these provinces because the estimated species pool is small, not because they are truly well-inventoried.</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49  </w:t>
      </w:r>
      <w:r>
        <w:rPr>
          <w:rFonts w:ascii="Times New Roman" w:hAnsi="Times New Roman"/>
          <w:b w:val="0"/>
          <w:i w:val="0"/>
          <w:color w:val="787878"/>
          <w:sz w:val="18"/>
        </w:rPr>
        <w:t>[comment #189]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also confuse.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[52] has been rewritten to separate the presentation of sampling completeness results from the species richness context, which was the source of confusion. The revised text presents family-level completeness proportions first, then provides the species richness context for Orchidaceae.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50  </w:t>
      </w:r>
      <w:r>
        <w:rPr>
          <w:rFonts w:ascii="Times New Roman" w:hAnsi="Times New Roman"/>
          <w:b w:val="0"/>
          <w:i w:val="0"/>
          <w:color w:val="787878"/>
          <w:sz w:val="18"/>
        </w:rPr>
        <w:t>[comment #193]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confuse. How can you know that?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phrase that was unclear has been replaced with a direct statement: Orchidaceae's high proportion of well-sampled cells is 'consistent with its status as the most species-rich VE family (~140 species per grid cell on average).' This removes any ambiguity about how species richness relates to sampling completeness.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51  </w:t>
      </w:r>
      <w:r>
        <w:rPr>
          <w:rFonts w:ascii="Times New Roman" w:hAnsi="Times New Roman"/>
          <w:b w:val="0"/>
          <w:i w:val="0"/>
          <w:color w:val="787878"/>
          <w:sz w:val="18"/>
        </w:rPr>
        <w:t>[comment #196]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All this paragraph  should be rewriten. It is confuse.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[53] has been substantially rewritten. The revised paragraph presents the family-level results under the completeness/R/S proxy, explicitly explains that the proportions differ from the slope-based results (and why), clarifies that the three categories are mutually exclusive, and resolves the apparent contradiction between Araceae's 2.4% poorly sampled and &lt;0.15% well-sampled proportions.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52  </w:t>
      </w:r>
      <w:r>
        <w:rPr>
          <w:rFonts w:ascii="Times New Roman" w:hAnsi="Times New Roman"/>
          <w:b w:val="0"/>
          <w:i w:val="0"/>
          <w:color w:val="787878"/>
          <w:sz w:val="18"/>
        </w:rPr>
        <w:t>[comment #199]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sentence is confusing and incomplete.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incomplete sentence has been replaced with a complete explanation in the rewritten paragraph. See response to comment [196].</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53  </w:t>
      </w:r>
      <w:r>
        <w:rPr>
          <w:rFonts w:ascii="Times New Roman" w:hAnsi="Times New Roman"/>
          <w:b w:val="0"/>
          <w:i w:val="0"/>
          <w:color w:val="787878"/>
          <w:sz w:val="18"/>
        </w:rPr>
        <w:t>[comment #201]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Again this is confuse. How can Araceae had 2.4 % poorly sampled grid cells and then 0.13 % of well-sampled grid cells?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Araceae showing 2.4% poorly sampled cells and &lt;0.15% well-sampled cells is not contradictory: the three categories (poorly, fairly, well-sampled) are mutually exclusive and exhaustive. If 2.4% are poorly sampled and ~0.1% are well-sampled, the remaining ~97.5% are fairly sampled. The revised paragraph makes this explicit.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54  </w:t>
      </w:r>
      <w:r>
        <w:rPr>
          <w:rFonts w:ascii="Times New Roman" w:hAnsi="Times New Roman"/>
          <w:b w:val="0"/>
          <w:i w:val="0"/>
          <w:color w:val="787878"/>
          <w:sz w:val="18"/>
        </w:rPr>
        <w:t>[comment #203]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confuse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paragraph has been rewritten for clarity. See response to comment [196].</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55  </w:t>
      </w:r>
      <w:r>
        <w:rPr>
          <w:rFonts w:ascii="Times New Roman" w:hAnsi="Times New Roman"/>
          <w:b w:val="0"/>
          <w:i w:val="0"/>
          <w:color w:val="787878"/>
          <w:sz w:val="18"/>
        </w:rPr>
        <w:t>[comment #205]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but before you gave different numbers.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The different numbers between para [52] (slope-based proxy) and para [53] (completeness/R/S proxy) reflect the two different analytical approaches, not an inconsistency. The revised text now explicitly states that 'these values differ from the slope-based results because the two proxies capture different dimensions of sampling sufficiency' and explains the distinction.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56  </w:t>
      </w:r>
      <w:r>
        <w:rPr>
          <w:rFonts w:ascii="Times New Roman" w:hAnsi="Times New Roman"/>
          <w:b w:val="0"/>
          <w:i w:val="0"/>
          <w:color w:val="787878"/>
          <w:sz w:val="18"/>
        </w:rPr>
        <w:t>[comment #211]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how did you measure that? There is no information in methods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The Getis-Ord Gi* methodology is described in Methods section 3 (Spatial and family patterns of biodiversity shortfalls): we applied the Gi* statistic to the three KnowBR metrics to identify spatial clusters of under-sampled cells across the Neotropics. The specific variables used (slope, completeness, R/S ratio, transformed to incompleteness metrics) are detailed in that section. Full results with maps are in Appendix S5.</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57  </w:t>
      </w:r>
      <w:r>
        <w:rPr>
          <w:rFonts w:ascii="Times New Roman" w:hAnsi="Times New Roman"/>
          <w:b w:val="0"/>
          <w:i w:val="0"/>
          <w:color w:val="787878"/>
          <w:sz w:val="18"/>
        </w:rPr>
        <w:t>[comment #213]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Weren't you talking about biodiversity shortfall hotspots?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The Gi* analysis identifies spatial clusters of poorly sampled cells—areas where under-sampled cells are geographically concentrated, i.e., 'biodiversity shortfall hotspots' in the spatial sense. The terminology 'spatial clustering of sampling effort' in the heading refers to the method used; the biological interpretation is indeed the identification of geographic shortfall concentrations.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58  </w:t>
      </w:r>
      <w:r>
        <w:rPr>
          <w:rFonts w:ascii="Times New Roman" w:hAnsi="Times New Roman"/>
          <w:b w:val="0"/>
          <w:i w:val="0"/>
          <w:color w:val="787878"/>
          <w:sz w:val="18"/>
        </w:rPr>
        <w:t>[comment #215]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[p.14] "Pe volcanic zones, semi-arid areas, and mountain ranges" -- how did you measure that? There is no information in methods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See response to comment [211]. The Gi* methodology is described in Methods section 3.</w:t>
      </w:r>
    </w:p>
    <w:p>
      <w:pPr>
        <w:spacing w:before="0" w:after="0"/>
        <w:pBdr>
          <w:bottom w:val="single" w:sz="4" w:space="1" w:color="CCCCCC"/>
        </w:pBdr>
      </w:pPr>
    </w:p>
    <w:p>
      <w:pPr>
        <w:spacing w:before="320" w:after="120"/>
      </w:pPr>
      <w:r>
        <w:rPr>
          <w:rFonts w:ascii="Times New Roman" w:hAnsi="Times New Roman"/>
          <w:b/>
          <w:i w:val="0"/>
          <w:color w:val="004682"/>
          <w:sz w:val="24"/>
        </w:rPr>
        <w:t>DISCUSSION</w:t>
      </w:r>
    </w:p>
    <w:p>
      <w:pPr>
        <w:spacing w:before="160" w:after="40"/>
      </w:pPr>
      <w:r>
        <w:rPr>
          <w:rFonts w:ascii="Times New Roman" w:hAnsi="Times New Roman"/>
          <w:b/>
          <w:i w:val="0"/>
          <w:color w:val="004682"/>
          <w:sz w:val="22"/>
        </w:rPr>
        <w:t xml:space="preserve">Comment 59  </w:t>
      </w:r>
      <w:r>
        <w:rPr>
          <w:rFonts w:ascii="Times New Roman" w:hAnsi="Times New Roman"/>
          <w:b w:val="0"/>
          <w:i w:val="0"/>
          <w:color w:val="787878"/>
          <w:sz w:val="18"/>
        </w:rPr>
        <w:t>[comment #217]</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[p.18] -- What is complex taxonomy?</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'Complex taxonomy' was vague; the revised text specifies 'nomenclatural instability due to frequent synonymizations, new species descriptions, and reinterpretations of floral morphology' (Cheek et al., 2020; Freudenstein &amp; Chase, 2015)—the precise mechanisms that make Orchidaceae occurrence records less reliable.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60  </w:t>
      </w:r>
      <w:r>
        <w:rPr>
          <w:rFonts w:ascii="Times New Roman" w:hAnsi="Times New Roman"/>
          <w:b w:val="0"/>
          <w:i w:val="0"/>
          <w:color w:val="787878"/>
          <w:sz w:val="18"/>
        </w:rPr>
        <w:t>[comment #218]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[p.18] -- avoid subjective terms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Subjective and vague language throughout para [63] has been replaced with specific, referenced claims. The term 'complex taxonomy' has been replaced with a description of the specific taxonomic challenges (see comment [217]). Unsubstantiated characterizations have been removed or supported with citations.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61  </w:t>
      </w:r>
      <w:r>
        <w:rPr>
          <w:rFonts w:ascii="Times New Roman" w:hAnsi="Times New Roman"/>
          <w:b w:val="0"/>
          <w:i w:val="0"/>
          <w:color w:val="787878"/>
          <w:sz w:val="18"/>
        </w:rPr>
        <w:t>[comment #219]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[p.18] -- What is this? I don't know what they're referring to. This whole paragraph is very confusing and speculative.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[63] has been substantially restructured to eliminate speculative statements and improve logical flow. The revised paragraph: (1) states the family-level patterns clearly, (2) explains the Orchidaceae paradox mechanistically, (3) defines the specific nomenclatural challenge (not 'complex taxonomy' generally), and (4) makes an epiphyte-specific argument about systematic under-collection. Tangential sections on time lags and tree comparisons have been removed.</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62  </w:t>
      </w:r>
      <w:r>
        <w:rPr>
          <w:rFonts w:ascii="Times New Roman" w:hAnsi="Times New Roman"/>
          <w:b w:val="0"/>
          <w:i w:val="0"/>
          <w:color w:val="787878"/>
          <w:sz w:val="18"/>
        </w:rPr>
        <w:t>[comment #220]</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paragraph is very long; it's merely a summary of the results and contains no discussion. I suggest deleting it.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opening paragraph has been rewritten as a proper Discussion opener: it identifies the key overall finding (extensive, geographically structured Wallacean shortfall), characterizes the spatial pattern without repeating individual numbers, and articulates the broader implications for biodiversity modelling and conservation. The specific results (percentages, province lists) remain in the Results section where they belong.</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63  </w:t>
      </w:r>
      <w:r>
        <w:rPr>
          <w:rFonts w:ascii="Times New Roman" w:hAnsi="Times New Roman"/>
          <w:b w:val="0"/>
          <w:i w:val="0"/>
          <w:color w:val="787878"/>
          <w:sz w:val="18"/>
        </w:rPr>
        <w:t>[comment #232]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your data?</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'Your data' refers to the curated database of Carmona-Higuita et al. (2023), described in full in Methods section 1. The database integrates &gt;20 independent sources with systematic quality control; the limitations described in this section (incomplete coordinates, GBIF inaccuracies) are standard caveats for any large-scale occurrence dataset.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64  </w:t>
      </w:r>
      <w:r>
        <w:rPr>
          <w:rFonts w:ascii="Times New Roman" w:hAnsi="Times New Roman"/>
          <w:b w:val="0"/>
          <w:i w:val="0"/>
          <w:color w:val="787878"/>
          <w:sz w:val="18"/>
        </w:rPr>
        <w:t>[comment #234]</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So if it's so bad, why did you use it? Not everything about that database is negative, and it can't be black and white. Please discuss this further.</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We used this database because it is the most comprehensive VE occurrence dataset available for the Neotropics and because we applied rigorous quality-control steps (coordinate validation, taxonomic backbone resolution, duplicate removal). The Limitations section explicitly acknowledges residual error. The database is not presented as perfect, but as the best available foundation for a Neotropics-wide analysis—the alternative (not using it) would preclude any large-scale assessment. Para [68] now discusses both its limitations and its strengths, including the digitization and regional-herbarium data that make it uniquely comprehensive.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65  </w:t>
      </w:r>
      <w:r>
        <w:rPr>
          <w:rFonts w:ascii="Times New Roman" w:hAnsi="Times New Roman"/>
          <w:b w:val="0"/>
          <w:i w:val="0"/>
          <w:color w:val="787878"/>
          <w:sz w:val="18"/>
        </w:rPr>
        <w:t>[comment #236]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So not everything is bad with that database.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Acknowledged. The database simultaneously has limitations (some records lack coordinates, GBIF data contain inaccuracies) and strengths (&gt;20 sources, systematic quality control, unpublished and grey-literature data). Both aspects are now explicitly acknowledged in the Limitations section, following the reviewer's suggestion for a more balanced treatment.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66  </w:t>
      </w:r>
      <w:r>
        <w:rPr>
          <w:rFonts w:ascii="Times New Roman" w:hAnsi="Times New Roman"/>
          <w:b w:val="0"/>
          <w:i w:val="0"/>
          <w:color w:val="787878"/>
          <w:sz w:val="18"/>
        </w:rPr>
        <w:t>[comment #240]</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[p.16] "O historically prioritized for botanical surveys" -- why?</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added an explicit explanation of WHY specific provinces were historically prioritized: the Mexican Transition Zone and Mesoamerica were intensively surveyed during 19th- and 20th-century botanical expeditions linked to major northern hemisphere herbaria (Kew, Smithsonian, Missouri Botanical Garden), while the Atlantic Forest and Paramo benefited from longstanding research networks and hotspot designation (Myers et al., 2000). Accessibility via road infrastructure and proximity to universities and biological stations further structured data accumulation.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67  </w:t>
      </w:r>
      <w:r>
        <w:rPr>
          <w:rFonts w:ascii="Times New Roman" w:hAnsi="Times New Roman"/>
          <w:b w:val="0"/>
          <w:i w:val="0"/>
          <w:color w:val="787878"/>
          <w:sz w:val="18"/>
        </w:rPr>
        <w:t>[comment #242]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why?</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mechanism behind the correlation between historical survey intensity and current data density is now explicitly stated: road access, institutional presence, and biodiversity-hotspot designation drove survey priority, while remote, politically restricted, or logistically difficult provinces were systematically undersampled. See the expanded text and citations (Gentry &amp; Dodson, 1987; Meyer et al., 2016; Zizka et al., 2021).</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68  </w:t>
      </w:r>
      <w:r>
        <w:rPr>
          <w:rFonts w:ascii="Times New Roman" w:hAnsi="Times New Roman"/>
          <w:b w:val="0"/>
          <w:i w:val="0"/>
          <w:color w:val="787878"/>
          <w:sz w:val="18"/>
        </w:rPr>
        <w:t>[comment #246]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How can this be possible? This is confusing.</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The apparent paradox is now explained: KnowBR estimates completeness relative to the cell-specific estimated species pool, not in absolute terms. Cells in low-diversity arid or montane regions can show high completeness with few records if their estimated species pool is correspondingly small. This does not imply those areas are truly well-inventoried in a biologically meaningful sense.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69  </w:t>
      </w:r>
      <w:r>
        <w:rPr>
          <w:rFonts w:ascii="Times New Roman" w:hAnsi="Times New Roman"/>
          <w:b w:val="0"/>
          <w:i w:val="0"/>
          <w:color w:val="787878"/>
          <w:sz w:val="18"/>
        </w:rPr>
        <w:t>[comment #249]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Again, are these two factors the only factors limiting data collection? They should delve deeper into this topic and not make it so simplistic.</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factors limiting data collection have been expanded from two to four distinct categories: (i) habitat fragmentation and deforestation rendering prior records obsolete; (ii) limited transport infrastructure; (iii) shortage of trained local specialists; and (iv) funding asymmetries concentrating research near wealthier institutions. Each is supported by references.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70  </w:t>
      </w:r>
      <w:r>
        <w:rPr>
          <w:rFonts w:ascii="Times New Roman" w:hAnsi="Times New Roman"/>
          <w:b w:val="0"/>
          <w:i w:val="0"/>
          <w:color w:val="787878"/>
          <w:sz w:val="18"/>
        </w:rPr>
        <w:t>[comment #254]</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paragraph is central to the discussion of the article, but it fails to present the patterns, causes, and explanations of this phenomenon.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[62] has been substantially expanded to: (1) resolve the apparent paradox between completeness values and record counts, (2) list multiple causal factors behind data gaps rather than just accessibility and habitat fragmentation, and (3) ground each claim with references. The paragraph now presents pattern, mechanism, and implication in sequence.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71  </w:t>
      </w:r>
      <w:r>
        <w:rPr>
          <w:rFonts w:ascii="Times New Roman" w:hAnsi="Times New Roman"/>
          <w:b w:val="0"/>
          <w:i w:val="0"/>
          <w:color w:val="787878"/>
          <w:sz w:val="18"/>
        </w:rPr>
        <w:t>[comment #255]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So far I understand the pattern. The way they presented the results is very confusing.</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[63] has been restructured to present results before explanation: it first states which families show the greatest deficiency under each proxy, then explains the mechanisms driving each pattern. The Orchidaceae paradox is explained before any discussion of rarity or taxonomy.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72  </w:t>
      </w:r>
      <w:r>
        <w:rPr>
          <w:rFonts w:ascii="Times New Roman" w:hAnsi="Times New Roman"/>
          <w:b w:val="0"/>
          <w:i w:val="0"/>
          <w:color w:val="787878"/>
          <w:sz w:val="18"/>
        </w:rPr>
        <w:t>[comment #258]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term is very cofunsing. Please, use more simple and direct terms.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'Complex taxonomy' has been replaced with 'nomenclatural instability due to frequent synonymizations, new species descriptions, and reinterpretations of floral morphology'—which precisely characterizes the problem rather than using a vague label.</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73  </w:t>
      </w:r>
      <w:r>
        <w:rPr>
          <w:rFonts w:ascii="Times New Roman" w:hAnsi="Times New Roman"/>
          <w:b w:val="0"/>
          <w:i w:val="0"/>
          <w:color w:val="787878"/>
          <w:sz w:val="18"/>
        </w:rPr>
        <w:t>[comment #265]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references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References have been added for each specific claim in para [63]: Benzing (2000) and Zotz (2016) for Araceae/Bromeliaceae habitat specialization; Chase et al. (2015) for Orchidaceae species richness; Cheek et al. (2020) and Freudenstein &amp; Chase (2015) for nomenclatural instability; Gentry &amp; Dodson (1987) and Mendieta-Leiva &amp; Zotz (2015) for systematic under-collection.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74  </w:t>
      </w:r>
      <w:r>
        <w:rPr>
          <w:rFonts w:ascii="Times New Roman" w:hAnsi="Times New Roman"/>
          <w:b w:val="0"/>
          <w:i w:val="0"/>
          <w:color w:val="787878"/>
          <w:sz w:val="18"/>
        </w:rPr>
        <w:t>[comment #268]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subjective. This can be said of many groups.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subjective statement about charismatic families has been replaced with a specific, referenced argument: Orchidaceae's high proportion of poorly sampled cells is explained by its extraordinary species richness (Chase et al., 2015) and the prevalence of rare, narrow-ranged species (Svahnström et al., 2025). The argument is now specific to epiphytes, not generalizable to 'many groups.'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75  </w:t>
      </w:r>
      <w:r>
        <w:rPr>
          <w:rFonts w:ascii="Times New Roman" w:hAnsi="Times New Roman"/>
          <w:b w:val="0"/>
          <w:i w:val="0"/>
          <w:color w:val="787878"/>
          <w:sz w:val="18"/>
        </w:rPr>
        <w:t>[comment #269]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another topic that has nothing to do with the above.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time-lag section, which addressed a different topic (time between species collection and description), has been removed from para [63]. The paragraph now focuses coherently on sampling completeness patterns and their mechanisms.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76  </w:t>
      </w:r>
      <w:r>
        <w:rPr>
          <w:rFonts w:ascii="Times New Roman" w:hAnsi="Times New Roman"/>
          <w:b w:val="0"/>
          <w:i w:val="0"/>
          <w:color w:val="787878"/>
          <w:sz w:val="18"/>
        </w:rPr>
        <w:t>[comment #270]</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valid for any taxonomic group.</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statement that was 'valid for any taxonomic group' has been removed. The remaining claims are now specific to epiphytes: the canopy-access requirement, the necessity of specialist identification, and the prevalence of nomenclatural instability are more pronounced in epiphytes than in most other plant groups.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77  </w:t>
      </w:r>
      <w:r>
        <w:rPr>
          <w:rFonts w:ascii="Times New Roman" w:hAnsi="Times New Roman"/>
          <w:b w:val="0"/>
          <w:i w:val="0"/>
          <w:color w:val="787878"/>
          <w:sz w:val="18"/>
        </w:rPr>
        <w:t>[comment #273]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entire paragraph is very confusing. It's full of jumping around ideas, vague sentences, subjective language, and a lot of speculation. It seems more like a complaint or catharsis from the authors, but it contributes nothing to the discussion of the article. I suggest deleting it.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[63] has been substantially restructured. The revised paragraph presents a clear argument: (1) states family-level patterns, (2) explains Araceae and Bromeliaceae deficits by habitat inaccessibility, (3) explains the Orchidaceae paradox by species richness and nomenclatural instability, and (4) makes an epiphyte-specific argument about systematic under-collection. Speculative statements and tangential sections have been removed.</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78  </w:t>
      </w:r>
      <w:r>
        <w:rPr>
          <w:rFonts w:ascii="Times New Roman" w:hAnsi="Times New Roman"/>
          <w:b w:val="0"/>
          <w:i w:val="0"/>
          <w:color w:val="787878"/>
          <w:sz w:val="18"/>
        </w:rPr>
        <w:t>[comment #276]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Again, all of this applies to almost all taxonomic groups. How can they prove it? The references they cite are 25 or more years old.</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[65] has been rewritten to make epiphyte-specific arguments supported by recent references. The claim about tropical plant inventories being incomplete (previously cited to Prance 2000) is now replaced by specific evidence about epiphyte exclusion from major survey programs (Anderson-Teixeira et al., 2015; Phillips et al., 2009) — evidence that cannot be generalized to other plant groups.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79  </w:t>
      </w:r>
      <w:r>
        <w:rPr>
          <w:rFonts w:ascii="Times New Roman" w:hAnsi="Times New Roman"/>
          <w:b w:val="0"/>
          <w:i w:val="0"/>
          <w:color w:val="787878"/>
          <w:sz w:val="18"/>
        </w:rPr>
        <w:t>[comment #280]</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interesting, and you could have discussed it better. Does sampling focused on groups or life forms improve or solve problems? Is it more difficult? Are there pros or cons?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paragraph now explicitly discusses life-form-focused survey programs as the most efficient approach: it explains WHY targeting epiphytes specifically yields more records per unit effort than general botanical surveys, and identifies the high-shortfall provinces where such programs would have the greatest impact.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80  </w:t>
      </w:r>
      <w:r>
        <w:rPr>
          <w:rFonts w:ascii="Times New Roman" w:hAnsi="Times New Roman"/>
          <w:b w:val="0"/>
          <w:i w:val="0"/>
          <w:color w:val="787878"/>
          <w:sz w:val="18"/>
        </w:rPr>
        <w:t>[comment #281]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Like the previous paragraph, it sounds more like a request, complaint, or claim. But not an argument.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paragraph has been transformed from a call-to-action into a scientific argument: each claim is now supported by evidence (references to survey efficiency, herbarium digitization cost-effectiveness, and taxonomic capacity requirements). The tone is descriptive and evidence-based rather than prescriptive.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81  </w:t>
      </w:r>
      <w:r>
        <w:rPr>
          <w:rFonts w:ascii="Times New Roman" w:hAnsi="Times New Roman"/>
          <w:b w:val="0"/>
          <w:i w:val="0"/>
          <w:color w:val="787878"/>
          <w:sz w:val="18"/>
        </w:rPr>
        <w:t>[comment #288]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True, but it also helps focus or prioritize efforts. Saying that the entire Neotropics must be conserved isn't the same as saying that a particular area of ​​a particular biogeographic region must be conserved. The authors should discuss this further.</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conservation implication of the Gi* results is now explicitly discussed: well-sampled clusters do not correspond to areas of greatest biodiversity importance, so conservation prioritization that uses data density as a proxy for knowledge completeness will systematically undervalue the truly critical unsampled regions.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82  </w:t>
      </w:r>
      <w:r>
        <w:rPr>
          <w:rFonts w:ascii="Times New Roman" w:hAnsi="Times New Roman"/>
          <w:b w:val="0"/>
          <w:i w:val="0"/>
          <w:color w:val="787878"/>
          <w:sz w:val="18"/>
        </w:rPr>
        <w:t>[comment #290]</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Why does this pattern occur? What's the theory behind it? More discussion.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mechanism behind why well-sampled cells cluster where they do is now explained: they correspond to the catchment areas of major herbaria, research universities, and biological stations—a 'hub-and-spoke' pattern of sampling effort documented for plants globally (Daru et al., 2017; Stropp et al., 2016). This is the theoretical basis for the spatial clustering pattern.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83  </w:t>
      </w:r>
      <w:r>
        <w:rPr>
          <w:rFonts w:ascii="Times New Roman" w:hAnsi="Times New Roman"/>
          <w:b w:val="0"/>
          <w:i w:val="0"/>
          <w:color w:val="787878"/>
          <w:sz w:val="18"/>
        </w:rPr>
        <w:t>[comment #292]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Same comment: Why does this pattern occur? What's the theory behind it? More discussion.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theory is the same as for comment [290]: institutional proximity drives record accumulation, and this effect is particularly strong for specialist-dependent groups like epiphytes. References added.</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84  </w:t>
      </w:r>
      <w:r>
        <w:rPr>
          <w:rFonts w:ascii="Times New Roman" w:hAnsi="Times New Roman"/>
          <w:b w:val="0"/>
          <w:i w:val="0"/>
          <w:color w:val="787878"/>
          <w:sz w:val="18"/>
        </w:rPr>
        <w:t>[comment #294]</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Okay, but what's the discussion here? What studies support this? What's the theory? Or are you just speculating?</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Each claim in para [66] is now supported by references: Daru et al. (2017) and Stropp et al. (2016) for the hub-and-spoke sampling pattern; Feeley &amp; Silman (2011) for the distinction between data density and biodiversity importance; Leão et al. (2023) for narrow-ranged epiphytes in the Atlantic Forest.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85  </w:t>
      </w:r>
      <w:r>
        <w:rPr>
          <w:rFonts w:ascii="Times New Roman" w:hAnsi="Times New Roman"/>
          <w:b w:val="0"/>
          <w:i w:val="0"/>
          <w:color w:val="787878"/>
          <w:sz w:val="18"/>
        </w:rPr>
        <w:t>[comment #297]</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[p.22] -- Use more contrasting colors, the patterns are not clearly visible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The request for more contrasting colours in Figure S8.1 has been noted and will be implemented in the revised figure files. The Gi* classification (high sampling concentration: red; low: blue; neutral: white) will be adjusted to use a diverging palette with greater contrast, following colourblind-accessible design guidelines (e.g., ColorBrewer RdBu scale).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86  </w:t>
      </w:r>
      <w:r>
        <w:rPr>
          <w:rFonts w:ascii="Times New Roman" w:hAnsi="Times New Roman"/>
          <w:b w:val="0"/>
          <w:i w:val="0"/>
          <w:color w:val="787878"/>
          <w:sz w:val="18"/>
        </w:rPr>
        <w:t>[comment #299]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Again, this is a mere summary of results and there's no discussion. It can be deleted.</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[69] has been transformed from a results summary into a Discussion closing that focuses on the downstream consequences of the documented shortfall—for distribution modelling, for conservation prioritization under global frameworks, and for the narrowing window of survey opportunity as habitat loss accelerates. All claims are supported by references.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87  </w:t>
      </w:r>
      <w:r>
        <w:rPr>
          <w:rFonts w:ascii="Times New Roman" w:hAnsi="Times New Roman"/>
          <w:b w:val="0"/>
          <w:i w:val="0"/>
          <w:color w:val="787878"/>
          <w:sz w:val="18"/>
        </w:rPr>
        <w:t>[comment #302]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It seems more like a conclusion than a discussion.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closing paragraph is now framed as a Discussion argument rather than a Conclusions section: it articulates implications and calls for specific, referenced actions (life-form surveys, herbarium digitization, epiphyte-specific data standards, taxonomic capacity) rather than summarizing results already presented.</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88  </w:t>
      </w:r>
      <w:r>
        <w:rPr>
          <w:rFonts w:ascii="Times New Roman" w:hAnsi="Times New Roman"/>
          <w:b w:val="0"/>
          <w:i w:val="0"/>
          <w:color w:val="787878"/>
          <w:sz w:val="18"/>
        </w:rPr>
        <w:t>[comment #304]</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There isn't a single reference in this paragraph. It seems to be all speculation. There's so much literature on this subject.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References have been added throughout the revised closing paragraph: Feeley (2015) and Maldonado et al. (2015) for distribution model bias, Myers et al. (2000) and Vitt et al. (2023) for conservation prioritization, Heberling et al. (2021) and Vargas et al. (2024) for herbarium digitization efficiency, Cheek et al. (2020) and Nicolson et al. (2023) for capacity-building needs, and Gasper et al. (2016) for habitat loss rate.</w:t>
      </w:r>
    </w:p>
    <w:p>
      <w:pPr>
        <w:spacing w:before="0" w:after="0"/>
        <w:pBdr>
          <w:bottom w:val="single" w:sz="4" w:space="1" w:color="CCCCCC"/>
        </w:pBdr>
      </w:pPr>
    </w:p>
    <w:p>
      <w:pPr>
        <w:spacing w:before="320" w:after="120"/>
      </w:pPr>
      <w:r>
        <w:rPr>
          <w:rFonts w:ascii="Times New Roman" w:hAnsi="Times New Roman"/>
          <w:b/>
          <w:i w:val="0"/>
          <w:color w:val="004682"/>
          <w:sz w:val="24"/>
        </w:rPr>
        <w:t>FIGURE CAPTIONS</w:t>
      </w:r>
    </w:p>
    <w:p>
      <w:pPr>
        <w:spacing w:before="160" w:after="40"/>
      </w:pPr>
      <w:r>
        <w:rPr>
          <w:rFonts w:ascii="Times New Roman" w:hAnsi="Times New Roman"/>
          <w:b/>
          <w:i w:val="0"/>
          <w:color w:val="004682"/>
          <w:sz w:val="22"/>
        </w:rPr>
        <w:t xml:space="preserve">Comment 89  </w:t>
      </w:r>
      <w:r>
        <w:rPr>
          <w:rFonts w:ascii="Times New Roman" w:hAnsi="Times New Roman"/>
          <w:b w:val="0"/>
          <w:i w:val="0"/>
          <w:color w:val="787878"/>
          <w:sz w:val="18"/>
        </w:rPr>
        <w:t>[comment #313]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The colors should be the other way around; it's confusing.</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We thank the reviewer for this suggestion. Following the heatmap convention standard in geographic data visualization—where warm colors (red) indicate data-rich areas and cool colors (blue) indicate data-sparse areas—we have reversed the color scheme. In the revised Figure 2, well-sampled grid cells are now shown in red (slope &lt; 0.02) and poorly-sampled cells in blue (slope &gt; 0.3), with light green for intermediate values. The caption has been updated accordingly.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90  </w:t>
      </w:r>
      <w:r>
        <w:rPr>
          <w:rFonts w:ascii="Times New Roman" w:hAnsi="Times New Roman"/>
          <w:b w:val="0"/>
          <w:i w:val="0"/>
          <w:color w:val="787878"/>
          <w:sz w:val="18"/>
        </w:rPr>
        <w:t>[comment #324]</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[p.50] -- Remove the gray outline around pixels.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We thank the reviewer for this observation. The gray outlines around grid cells have been removed from all revised figures for a cleaner visualization. This applies to Figures 2, 3, and the appendix figures as well.</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91  </w:t>
      </w:r>
      <w:r>
        <w:rPr>
          <w:rFonts w:ascii="Times New Roman" w:hAnsi="Times New Roman"/>
          <w:b w:val="0"/>
          <w:i w:val="0"/>
          <w:color w:val="787878"/>
          <w:sz w:val="18"/>
        </w:rPr>
        <w:t>[comment #329]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The same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The same color-scheme revision (warm = well-sampled, cool = poorly-sampled) and removal of grid cell borders have been applied to Figure 3. In the revised figure, well-sampled areas are shown in red and poorly-sampled areas in blue. The caption has been updated accordingly.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92  </w:t>
      </w:r>
      <w:r>
        <w:rPr>
          <w:rFonts w:ascii="Times New Roman" w:hAnsi="Times New Roman"/>
          <w:b w:val="0"/>
          <w:i w:val="0"/>
          <w:color w:val="787878"/>
          <w:sz w:val="18"/>
        </w:rPr>
        <w:t>[comment #338]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How can both patterns be measured at the same time?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Panels A and B of Figure S9.1 show two independent frequency distributions computed from the same set of grid cells. Panel A displays the distribution of total occurrence records per cell, and panel B displays the distribution of observed species richness per cell. Each grid cell contributes one value to each panel independently—there is no simultaneous measurement; the two variables are calculated separately and displayed side by side for comparison. We have clarified the caption to make the independence of the two panels explicit.</w:t>
      </w:r>
    </w:p>
    <w:p>
      <w:pPr>
        <w:spacing w:before="0" w:after="0"/>
        <w:pBdr>
          <w:bottom w:val="single" w:sz="4" w:space="1" w:color="CCCCCC"/>
        </w:pBdr>
      </w:pPr>
    </w:p>
    <w:p>
      <w:pPr>
        <w:spacing w:before="320" w:after="120"/>
      </w:pPr>
      <w:r>
        <w:rPr>
          <w:rFonts w:ascii="Times New Roman" w:hAnsi="Times New Roman"/>
          <w:b/>
          <w:i w:val="0"/>
          <w:color w:val="004682"/>
          <w:sz w:val="24"/>
        </w:rPr>
        <w:t>GENERAL / ORPHANED</w:t>
      </w:r>
    </w:p>
    <w:p>
      <w:pPr>
        <w:spacing w:before="160" w:after="40"/>
      </w:pPr>
      <w:r>
        <w:rPr>
          <w:rFonts w:ascii="Times New Roman" w:hAnsi="Times New Roman"/>
          <w:b/>
          <w:i w:val="0"/>
          <w:color w:val="004682"/>
          <w:sz w:val="22"/>
        </w:rPr>
        <w:t xml:space="preserve">Comment 93  </w:t>
      </w:r>
      <w:r>
        <w:rPr>
          <w:rFonts w:ascii="Times New Roman" w:hAnsi="Times New Roman"/>
          <w:b w:val="0"/>
          <w:i w:val="0"/>
          <w:color w:val="787878"/>
          <w:sz w:val="18"/>
        </w:rPr>
        <w:t>[comment #151]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records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We thank the reviewer for flagging this. We have standardized the terminology throughout the revised manuscript, consistently using 'occurrence records' to refer to georeferenced biodiversity records, avoiding the ambiguous standalone use of 'records'.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94  </w:t>
      </w:r>
      <w:r>
        <w:rPr>
          <w:rFonts w:ascii="Times New Roman" w:hAnsi="Times New Roman"/>
          <w:b w:val="0"/>
          <w:i w:val="0"/>
          <w:color w:val="787878"/>
          <w:sz w:val="18"/>
        </w:rPr>
        <w:t>[comment #152]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records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As noted above (comment 151), we have replaced all standalone uses of 'records' with the full term 'occurrence records' throughout the manuscript for clarity.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95  </w:t>
      </w:r>
      <w:r>
        <w:rPr>
          <w:rFonts w:ascii="Times New Roman" w:hAnsi="Times New Roman"/>
          <w:b w:val="0"/>
          <w:i w:val="0"/>
          <w:color w:val="787878"/>
          <w:sz w:val="18"/>
        </w:rPr>
        <w:t>[comment #153]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Records ans so 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We thank the reviewer. The term 'occurrence records' is now used consistently throughout the text. Earlier instances where only 'records' appeared have been updated to the full term to avoid ambiguity.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96  </w:t>
      </w:r>
      <w:r>
        <w:rPr>
          <w:rFonts w:ascii="Times New Roman" w:hAnsi="Times New Roman"/>
          <w:b w:val="0"/>
          <w:i w:val="0"/>
          <w:color w:val="787878"/>
          <w:sz w:val="18"/>
        </w:rPr>
        <w:t>[comment #262]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section that prompted this comment has been removed; the restructured paragraph no longer contains the ambiguous passage. See the revised text in para [63].</w:t>
      </w:r>
    </w:p>
    <w:p>
      <w:pPr>
        <w:spacing w:before="0" w:after="0"/>
        <w:pBdr>
          <w:bottom w:val="single" w:sz="4" w:space="1" w:color="CCCCCC"/>
        </w:pBd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