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22"/>
          <w:szCs w:val="22"/>
        </w:rPr>
        <w:t>Response to Reviewers</w:t>
      </w:r>
    </w:p>
    <w:p>
      <w:pPr>
        <w:spacing w:after="80" w:before="0"/>
        <w:jc w:val="center"/>
      </w:pPr>
      <w:r>
        <w:rPr>
          <w:rFonts w:ascii="Times New Roman" w:cs="Times New Roman" w:eastAsia="Times New Roman" w:hAnsi="Times New Roman"/>
          <w:i/>
          <w:iCs/>
          <w:sz w:val="22"/>
          <w:szCs w:val="22"/>
        </w:rPr>
        <w:t>Data Shortfalls on Vascular Epiphytes in the Neotropics</w:t>
      </w:r>
    </w:p>
    <w:p>
      <w:pPr>
        <w:spacing w:after="400" w:before="0"/>
        <w:jc w:val="center"/>
      </w:pPr>
      <w:r>
        <w:rPr>
          <w:rFonts w:ascii="Times New Roman" w:cs="Times New Roman" w:eastAsia="Times New Roman" w:hAnsi="Times New Roman"/>
          <w:sz w:val="22"/>
          <w:szCs w:val="22"/>
        </w:rPr>
        <w:t>Manuscript ID: BITR-25-097 → DDI resubmission</w:t>
      </w:r>
    </w:p>
    <w:p>
      <w:pPr>
        <w:spacing w:after="160" w:before="0"/>
        <w:jc w:val="both"/>
      </w:pPr>
      <w:r>
        <w:rPr>
          <w:rFonts w:ascii="Times New Roman" w:cs="Times New Roman" w:eastAsia="Times New Roman" w:hAnsi="Times New Roman"/>
          <w:b/>
          <w:bCs/>
          <w:sz w:val="22"/>
          <w:szCs w:val="22"/>
        </w:rPr>
        <w:t xml:space="preserve">General response. </w:t>
      </w:r>
      <w:r>
        <w:rPr>
          <w:rFonts w:ascii="Times New Roman" w:cs="Times New Roman" w:eastAsia="Times New Roman" w:hAnsi="Times New Roman"/>
          <w:sz w:val="22"/>
          <w:szCs w:val="22"/>
        </w:rPr>
        <w:t xml:space="preserve">We thank Reviewer 2 for a constructive and encouraging evaluation. The reviewer's comments point to four structural aspects of the manuscript (Introduction clarity, Methods detail, Results organization, Discussion depth) and an English language review. We respond to each in turn. Several of the changes described here overlap with revisions made in response to Reviewer 1; these are cross-referenced where applicable. Items marked </w:t>
      </w:r>
      <w:r>
        <w:rPr>
          <w:rFonts w:ascii="Times New Roman" w:cs="Times New Roman" w:eastAsia="Times New Roman" w:hAnsi="Times New Roman"/>
          <w:b/>
          <w:bCs/>
          <w:sz w:val="22"/>
          <w:szCs w:val="22"/>
        </w:rPr>
        <w:t>✓ COMPLETED</w:t>
      </w:r>
      <w:r>
        <w:rPr>
          <w:rFonts w:ascii="Times New Roman" w:cs="Times New Roman" w:eastAsia="Times New Roman" w:hAnsi="Times New Roman"/>
          <w:sz w:val="22"/>
          <w:szCs w:val="22"/>
        </w:rPr>
        <w:t xml:space="preserve"> require additional work before submission.</w:t>
      </w: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COMMENT 1: INTRODUCTION ───</w:t>
      </w:r>
    </w:p>
    <w:p>
      <w:pPr>
        <w:spacing w:after="80" w:before="0"/>
      </w:pPr>
      <w:r>
        <w:rPr>
          <w:rFonts w:ascii="Times New Roman" w:cs="Times New Roman" w:eastAsia="Times New Roman" w:hAnsi="Times New Roman"/>
          <w:sz w:val="22"/>
          <w:szCs w:val="22"/>
        </w:rPr>
        <w:t xml:space="preserve"/>
      </w:r>
    </w:p>
    <w:p>
      <w:pPr>
        <w:pBdr>
          <w:left w:val="single" w:color="D97706" w:sz="12" w:space="6"/>
        </w:pBdr>
        <w:shd w:fill="FFF3E0" w:val="clear"/>
        <w:spacing w:after="80" w:before="200"/>
        <w:ind w:left="160"/>
        <w:jc w:val="both"/>
      </w:pPr>
      <w:r>
        <w:rPr>
          <w:rFonts w:ascii="Times New Roman" w:cs="Times New Roman" w:eastAsia="Times New Roman" w:hAnsi="Times New Roman"/>
          <w:b/>
          <w:bCs/>
          <w:sz w:val="22"/>
          <w:szCs w:val="22"/>
        </w:rPr>
        <w:t>Comment R2.1</w:t>
      </w:r>
      <w:r>
        <w:rPr>
          <w:rFonts w:ascii="Times New Roman" w:cs="Times New Roman" w:eastAsia="Times New Roman" w:hAnsi="Times New Roman"/>
          <w:color w:val="555555"/>
          <w:sz w:val="22"/>
          <w:szCs w:val="22"/>
        </w:rPr>
        <w:t xml:space="preserve"> (Introduction): </w:t>
      </w:r>
      <w:r>
        <w:rPr>
          <w:rFonts w:ascii="Times New Roman" w:cs="Times New Roman" w:eastAsia="Times New Roman" w:hAnsi="Times New Roman"/>
          <w:i/>
          <w:iCs/>
          <w:sz w:val="22"/>
          <w:szCs w:val="22"/>
        </w:rPr>
        <w:t>The introduction would be strengthened by providing clear definitions for key terms at the outset. Establishing a precise theoretical framework will help readers better understand the study's objectives and significance.</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We have substantially revised the Introduction to establish a clear theoretical framework from the outset. Specifically: (1) We now define "knowledge shortfalls" explicitly, citing Hortal et al. (2015) and the Seven Shortfalls framework at first mention. (2) We specify that our study addresses the Wallacean shortfall (unknown distributions of known species), and distinguish it from the Linnean shortfall (unknown species) and data collection biases. (3) Key terms — inventory completeness, Wallacean shortfall, species accumulation curve — are defined at their first occurrence. (4) References to "geographical bias" and "taxonomic bias" have been removed as objectives and are now used only descriptively to characterize data collection patterns. The revised Introduction presents a streamlined three-concept framework: data biases → knowledge shortfalls → Wallacean shortfall as our specific focus.</w:t>
      </w:r>
    </w:p>
    <w:p>
      <w:pPr>
        <w:spacing w:after="80" w:before="60"/>
        <w:ind w:left="160"/>
        <w:jc w:val="both"/>
      </w:pPr>
      <w:r>
        <w:rPr>
          <w:rFonts w:ascii="Times New Roman" w:cs="Times New Roman" w:eastAsia="Times New Roman" w:hAnsi="Times New Roman"/>
          <w:b/>
          <w:bCs/>
          <w:sz w:val="22"/>
          <w:szCs w:val="22"/>
        </w:rPr>
        <w:t xml:space="preserve">↔ Also addresses R1.M1/R1.3/R1.6/R1.7: </w:t>
      </w:r>
      <w:r>
        <w:rPr>
          <w:rFonts w:ascii="Times New Roman" w:cs="Times New Roman" w:eastAsia="Times New Roman" w:hAnsi="Times New Roman"/>
          <w:color w:val="1D6A3A"/>
          <w:sz w:val="22"/>
          <w:szCs w:val="22"/>
        </w:rPr>
        <w:t>This revision also addresses Reviewer 1's concerns about conceptual ambiguity (M1), the need to cite Hortal et al. 2015 (R1.3), the biases-vs-shortfalls distinction (R1.6), and the explicit novelty statement (R1.7).</w:t>
      </w: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COMMENT 2: METHODS ───</w:t>
      </w:r>
    </w:p>
    <w:p>
      <w:pPr>
        <w:spacing w:after="80" w:before="0"/>
      </w:pPr>
      <w:r>
        <w:rPr>
          <w:rFonts w:ascii="Times New Roman" w:cs="Times New Roman" w:eastAsia="Times New Roman" w:hAnsi="Times New Roman"/>
          <w:sz w:val="22"/>
          <w:szCs w:val="22"/>
        </w:rPr>
        <w:t xml:space="preserve"/>
      </w:r>
    </w:p>
    <w:p>
      <w:pPr>
        <w:pBdr>
          <w:left w:val="single" w:color="D97706" w:sz="12" w:space="6"/>
        </w:pBdr>
        <w:shd w:fill="FFF3E0" w:val="clear"/>
        <w:spacing w:after="80" w:before="200"/>
        <w:ind w:left="160"/>
        <w:jc w:val="both"/>
      </w:pPr>
      <w:r>
        <w:rPr>
          <w:rFonts w:ascii="Times New Roman" w:cs="Times New Roman" w:eastAsia="Times New Roman" w:hAnsi="Times New Roman"/>
          <w:b/>
          <w:bCs/>
          <w:sz w:val="22"/>
          <w:szCs w:val="22"/>
        </w:rPr>
        <w:t>Comment R2.2</w:t>
      </w:r>
      <w:r>
        <w:rPr>
          <w:rFonts w:ascii="Times New Roman" w:cs="Times New Roman" w:eastAsia="Times New Roman" w:hAnsi="Times New Roman"/>
          <w:color w:val="555555"/>
          <w:sz w:val="22"/>
          <w:szCs w:val="22"/>
        </w:rPr>
        <w:t xml:space="preserve"> (Methods): </w:t>
      </w:r>
      <w:r>
        <w:rPr>
          <w:rFonts w:ascii="Times New Roman" w:cs="Times New Roman" w:eastAsia="Times New Roman" w:hAnsi="Times New Roman"/>
          <w:i/>
          <w:iCs/>
          <w:sz w:val="22"/>
          <w:szCs w:val="22"/>
        </w:rPr>
        <w:t>The methodology needs a more detailed and logical explanation. For several procedures, the rationale (why a specific method was chosen) and the exact steps (how it was implemented) are unclear. This lack of detail makes it difficult to assess the validity of the approach and to replicate the study.</w:t>
      </w:r>
    </w:p>
    <w:p>
      <w:pPr>
        <w:spacing w:after="80" w:before="80"/>
        <w:ind w:left="160"/>
        <w:jc w:val="both"/>
      </w:pPr>
      <w:r>
        <w:rPr>
          <w:rFonts w:ascii="Times New Roman" w:cs="Times New Roman" w:eastAsia="Times New Roman" w:hAnsi="Times New Roman"/>
          <w:b/>
          <w:bCs/>
          <w:sz w:val="22"/>
          <w:szCs w:val="22"/>
        </w:rPr>
        <w:t xml:space="preserve">[SUBSTANTIALLY ADDRESSED] </w:t>
      </w:r>
      <w:r>
        <w:rPr>
          <w:rFonts w:ascii="Times New Roman" w:cs="Times New Roman" w:eastAsia="Times New Roman" w:hAnsi="Times New Roman"/>
          <w:sz w:val="22"/>
          <w:szCs w:val="22"/>
        </w:rPr>
        <w:t>We have added explicit rationale and procedural detail throughout the Methods section, organized by subsection:</w:t>
      </w:r>
    </w:p>
    <w:p>
      <w:pPr>
        <w:spacing w:after="60" w:before="60"/>
        <w:ind w:left="320"/>
        <w:jc w:val="both"/>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Data sources and cleaning: </w:t>
      </w:r>
      <w:r>
        <w:rPr>
          <w:rFonts w:ascii="Times New Roman" w:cs="Times New Roman" w:eastAsia="Times New Roman" w:hAnsi="Times New Roman"/>
          <w:sz w:val="22"/>
          <w:szCs w:val="22"/>
        </w:rPr>
        <w:t>Added clarification on deduplication (whether temporal duplicates are retained), with justification.</w:t>
      </w:r>
    </w:p>
    <w:p>
      <w:pPr>
        <w:spacing w:after="60" w:before="60"/>
        <w:ind w:left="320"/>
        <w:jc w:val="both"/>
      </w:pPr>
      <w:r>
        <w:rPr>
          <w:rFonts w:ascii="Times New Roman" w:cs="Times New Roman" w:eastAsia="Times New Roman" w:hAnsi="Times New Roman"/>
          <w:sz w:val="22"/>
          <w:szCs w:val="22"/>
        </w:rPr>
        <w:t xml:space="preserve">(b) </w:t>
      </w:r>
      <w:r>
        <w:rPr>
          <w:rFonts w:ascii="Times New Roman" w:cs="Times New Roman" w:eastAsia="Times New Roman" w:hAnsi="Times New Roman"/>
          <w:b/>
          <w:bCs/>
          <w:sz w:val="22"/>
          <w:szCs w:val="22"/>
        </w:rPr>
        <w:t xml:space="preserve">Spatial resolution: </w:t>
      </w:r>
      <w:r>
        <w:rPr>
          <w:rFonts w:ascii="Times New Roman" w:cs="Times New Roman" w:eastAsia="Times New Roman" w:hAnsi="Times New Roman"/>
          <w:sz w:val="22"/>
          <w:szCs w:val="22"/>
        </w:rPr>
        <w:t>Added justification for 30 arc-minute grid (compatibility with KnowBR outputs, sufficient records per cell, precedent in Neotropical macroecology). Sensitivity analysis at 15 arc-min reported in SI.</w:t>
      </w:r>
    </w:p>
    <w:p>
      <w:pPr>
        <w:spacing w:after="60" w:before="60"/>
        <w:ind w:left="320"/>
        <w:jc w:val="both"/>
      </w:pPr>
      <w:r>
        <w:rPr>
          <w:rFonts w:ascii="Times New Roman" w:cs="Times New Roman" w:eastAsia="Times New Roman" w:hAnsi="Times New Roman"/>
          <w:sz w:val="22"/>
          <w:szCs w:val="22"/>
        </w:rPr>
        <w:t xml:space="preserve">(c) </w:t>
      </w:r>
      <w:r>
        <w:rPr>
          <w:rFonts w:ascii="Times New Roman" w:cs="Times New Roman" w:eastAsia="Times New Roman" w:hAnsi="Times New Roman"/>
          <w:b/>
          <w:bCs/>
          <w:sz w:val="22"/>
          <w:szCs w:val="22"/>
        </w:rPr>
        <w:t xml:space="preserve">KnowBR implementation: </w:t>
      </w:r>
      <w:r>
        <w:rPr>
          <w:rFonts w:ascii="Times New Roman" w:cs="Times New Roman" w:eastAsia="Times New Roman" w:hAnsi="Times New Roman"/>
          <w:sz w:val="22"/>
          <w:szCs w:val="22"/>
        </w:rPr>
        <w:t>Added statement of the number of permutations used for species accumulation curve smoothing, and specification that "completeness" refers to inventory completeness of species occurrences.</w:t>
      </w:r>
    </w:p>
    <w:p>
      <w:pPr>
        <w:spacing w:after="60" w:before="60"/>
        <w:ind w:left="320"/>
        <w:jc w:val="both"/>
      </w:pPr>
      <w:r>
        <w:rPr>
          <w:rFonts w:ascii="Times New Roman" w:cs="Times New Roman" w:eastAsia="Times New Roman" w:hAnsi="Times New Roman"/>
          <w:sz w:val="22"/>
          <w:szCs w:val="22"/>
        </w:rPr>
        <w:t xml:space="preserve">(d) </w:t>
      </w:r>
      <w:r>
        <w:rPr>
          <w:rFonts w:ascii="Times New Roman" w:cs="Times New Roman" w:eastAsia="Times New Roman" w:hAnsi="Times New Roman"/>
          <w:b/>
          <w:bCs/>
          <w:sz w:val="22"/>
          <w:szCs w:val="22"/>
        </w:rPr>
        <w:t xml:space="preserve">Classification thresholds: </w:t>
      </w:r>
      <w:r>
        <w:rPr>
          <w:rFonts w:ascii="Times New Roman" w:cs="Times New Roman" w:eastAsia="Times New Roman" w:hAnsi="Times New Roman"/>
          <w:sz w:val="22"/>
          <w:szCs w:val="22"/>
        </w:rPr>
        <w:t>Replaced implicit quartile-based classification with explicit three-class thresholds (slope: &lt;0.02 well-sampled; 0.02–0.3 fairly-sampled; &gt;0.3 poorly-sampled) with written justification based on the KnowBR literature.</w:t>
      </w:r>
    </w:p>
    <w:p>
      <w:pPr>
        <w:spacing w:after="60" w:before="60"/>
        <w:ind w:left="320"/>
        <w:jc w:val="both"/>
      </w:pPr>
      <w:r>
        <w:rPr>
          <w:rFonts w:ascii="Times New Roman" w:cs="Times New Roman" w:eastAsia="Times New Roman" w:hAnsi="Times New Roman"/>
          <w:sz w:val="22"/>
          <w:szCs w:val="22"/>
        </w:rPr>
        <w:t xml:space="preserve">(e) </w:t>
      </w:r>
      <w:r>
        <w:rPr>
          <w:rFonts w:ascii="Times New Roman" w:cs="Times New Roman" w:eastAsia="Times New Roman" w:hAnsi="Times New Roman"/>
          <w:b/>
          <w:bCs/>
          <w:sz w:val="22"/>
          <w:szCs w:val="22"/>
        </w:rPr>
        <w:t xml:space="preserve">Minimum records threshold: </w:t>
      </w:r>
      <w:r>
        <w:rPr>
          <w:rFonts w:ascii="Times New Roman" w:cs="Times New Roman" w:eastAsia="Times New Roman" w:hAnsi="Times New Roman"/>
          <w:sz w:val="22"/>
          <w:szCs w:val="22"/>
        </w:rPr>
        <w:t>Added rationale for the 10-record minimum and results of a sensitivity analysis (Script 08; thresholds 5–30 records all yield Spearman ρ = 1.00).</w:t>
      </w:r>
    </w:p>
    <w:p>
      <w:pPr>
        <w:spacing w:after="60" w:before="60"/>
        <w:ind w:left="320"/>
        <w:jc w:val="both"/>
      </w:pPr>
      <w:r>
        <w:rPr>
          <w:rFonts w:ascii="Times New Roman" w:cs="Times New Roman" w:eastAsia="Times New Roman" w:hAnsi="Times New Roman"/>
          <w:sz w:val="22"/>
          <w:szCs w:val="22"/>
        </w:rPr>
        <w:t xml:space="preserve">(f) </w:t>
      </w:r>
      <w:r>
        <w:rPr>
          <w:rFonts w:ascii="Times New Roman" w:cs="Times New Roman" w:eastAsia="Times New Roman" w:hAnsi="Times New Roman"/>
          <w:b/>
          <w:bCs/>
          <w:sz w:val="22"/>
          <w:szCs w:val="22"/>
        </w:rPr>
        <w:t xml:space="preserve">Biogeographic provinces: </w:t>
      </w:r>
      <w:r>
        <w:rPr>
          <w:rFonts w:ascii="Times New Roman" w:cs="Times New Roman" w:eastAsia="Times New Roman" w:hAnsi="Times New Roman"/>
          <w:sz w:val="22"/>
          <w:szCs w:val="22"/>
        </w:rPr>
        <w:t>Added a brief explanation of Morrone et al. (2022) provinces (regionalization based on evolutionary biogeography, distinct from ecoregions which reflect ecological gradients). New figure added showing all provinces (see also R1.32).</w:t>
      </w:r>
    </w:p>
    <w:p>
      <w:pPr>
        <w:spacing w:after="60" w:before="60"/>
        <w:ind w:left="320"/>
        <w:jc w:val="both"/>
      </w:pPr>
      <w:r>
        <w:rPr>
          <w:rFonts w:ascii="Times New Roman" w:cs="Times New Roman" w:eastAsia="Times New Roman" w:hAnsi="Times New Roman"/>
          <w:sz w:val="22"/>
          <w:szCs w:val="22"/>
        </w:rPr>
        <w:t xml:space="preserve">(g) </w:t>
      </w:r>
      <w:r>
        <w:rPr>
          <w:rFonts w:ascii="Times New Roman" w:cs="Times New Roman" w:eastAsia="Times New Roman" w:hAnsi="Times New Roman"/>
          <w:b/>
          <w:bCs/>
          <w:sz w:val="22"/>
          <w:szCs w:val="22"/>
        </w:rPr>
        <w:t xml:space="preserve">Metric correlation: </w:t>
      </w:r>
      <w:r>
        <w:rPr>
          <w:rFonts w:ascii="Times New Roman" w:cs="Times New Roman" w:eastAsia="Times New Roman" w:hAnsi="Times New Roman"/>
          <w:sz w:val="22"/>
          <w:szCs w:val="22"/>
        </w:rPr>
        <w:t>Added formal Spearman correlation analysis (Script 07) and reframed the three KnowBR metrics as "convergent evidence" (ρ = 0.86–0.99). New Supplementary Table S1.</w:t>
      </w:r>
    </w:p>
    <w:p>
      <w:pPr>
        <w:spacing w:after="80" w:before="60"/>
        <w:ind w:left="160"/>
        <w:jc w:val="both"/>
      </w:pPr>
      <w:r>
        <w:rPr>
          <w:rFonts w:ascii="Times New Roman" w:cs="Times New Roman" w:eastAsia="Times New Roman" w:hAnsi="Times New Roman"/>
          <w:b/>
          <w:bCs/>
          <w:sz w:val="22"/>
          <w:szCs w:val="22"/>
        </w:rPr>
        <w:t xml:space="preserve">↔ Also addresses R1.R1.9/R1.10/R1.11/R1.12/R1.14/R1.15/R1.16/R1.19: </w:t>
      </w:r>
      <w:r>
        <w:rPr>
          <w:rFonts w:ascii="Times New Roman" w:cs="Times New Roman" w:eastAsia="Times New Roman" w:hAnsi="Times New Roman"/>
          <w:color w:val="1D6A3A"/>
          <w:sz w:val="22"/>
          <w:szCs w:val="22"/>
        </w:rPr>
        <w:t>Most of these changes also respond to specific Methods comments from Reviewer 1.</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COMMENT 3: RESULTS ───</w:t>
      </w:r>
    </w:p>
    <w:p>
      <w:pPr>
        <w:spacing w:after="80" w:before="0"/>
      </w:pPr>
      <w:r>
        <w:rPr>
          <w:rFonts w:ascii="Times New Roman" w:cs="Times New Roman" w:eastAsia="Times New Roman" w:hAnsi="Times New Roman"/>
          <w:sz w:val="22"/>
          <w:szCs w:val="22"/>
        </w:rPr>
        <w:t xml:space="preserve"/>
      </w:r>
    </w:p>
    <w:p>
      <w:pPr>
        <w:pBdr>
          <w:left w:val="single" w:color="D97706" w:sz="12" w:space="6"/>
        </w:pBdr>
        <w:shd w:fill="FFF3E0" w:val="clear"/>
        <w:spacing w:after="80" w:before="200"/>
        <w:ind w:left="160"/>
        <w:jc w:val="both"/>
      </w:pPr>
      <w:r>
        <w:rPr>
          <w:rFonts w:ascii="Times New Roman" w:cs="Times New Roman" w:eastAsia="Times New Roman" w:hAnsi="Times New Roman"/>
          <w:b/>
          <w:bCs/>
          <w:sz w:val="22"/>
          <w:szCs w:val="22"/>
        </w:rPr>
        <w:t>Comment R2.3</w:t>
      </w:r>
      <w:r>
        <w:rPr>
          <w:rFonts w:ascii="Times New Roman" w:cs="Times New Roman" w:eastAsia="Times New Roman" w:hAnsi="Times New Roman"/>
          <w:color w:val="555555"/>
          <w:sz w:val="22"/>
          <w:szCs w:val="22"/>
        </w:rPr>
        <w:t xml:space="preserve"> (Results): </w:t>
      </w:r>
      <w:r>
        <w:rPr>
          <w:rFonts w:ascii="Times New Roman" w:cs="Times New Roman" w:eastAsia="Times New Roman" w:hAnsi="Times New Roman"/>
          <w:i/>
          <w:iCs/>
          <w:sz w:val="22"/>
          <w:szCs w:val="22"/>
        </w:rPr>
        <w:t>The presentation of the results is currently challenging to follow. I recommend reorganizing this section to present the findings in a more logical and streamlined sequence. Using clear subheadings and ensuring a direct flow from your research questions to the corresponding results would greatly improve clarity.</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We have reorganized the Results section around the manuscript's two core outputs: (1) Data distribution patterns (records per cell, species richness per cell, correlation between them), and (2) Inventory completeness (slope-based classification, completeness %, R/S ratio). The hotspot analysis, which had formed a third section, has been moved to Supporting Information (Figure S5) following both reviewers' recommendations. Subheadings now explicitly mirror the research objectives. Within each subsection, we replaced lengthy prose enumerations with reference to tables and figures: summary statistics by province are in Table S3; visual summaries are in Figures 1–3. The convergent-evidence framing (three metrics, all concordant) reduces redundant reporting.</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COMMENT 4: DISCUSSION ───</w:t>
      </w:r>
    </w:p>
    <w:p>
      <w:pPr>
        <w:spacing w:after="80" w:before="0"/>
      </w:pPr>
      <w:r>
        <w:rPr>
          <w:rFonts w:ascii="Times New Roman" w:cs="Times New Roman" w:eastAsia="Times New Roman" w:hAnsi="Times New Roman"/>
          <w:sz w:val="22"/>
          <w:szCs w:val="22"/>
        </w:rPr>
        <w:t xml:space="preserve"/>
      </w:r>
    </w:p>
    <w:p>
      <w:pPr>
        <w:pBdr>
          <w:left w:val="single" w:color="D97706" w:sz="12" w:space="6"/>
        </w:pBdr>
        <w:shd w:fill="FFF3E0" w:val="clear"/>
        <w:spacing w:after="80" w:before="200"/>
        <w:ind w:left="160"/>
        <w:jc w:val="both"/>
      </w:pPr>
      <w:r>
        <w:rPr>
          <w:rFonts w:ascii="Times New Roman" w:cs="Times New Roman" w:eastAsia="Times New Roman" w:hAnsi="Times New Roman"/>
          <w:b/>
          <w:bCs/>
          <w:sz w:val="22"/>
          <w:szCs w:val="22"/>
        </w:rPr>
        <w:t>Comment R2.4</w:t>
      </w:r>
      <w:r>
        <w:rPr>
          <w:rFonts w:ascii="Times New Roman" w:cs="Times New Roman" w:eastAsia="Times New Roman" w:hAnsi="Times New Roman"/>
          <w:color w:val="555555"/>
          <w:sz w:val="22"/>
          <w:szCs w:val="22"/>
        </w:rPr>
        <w:t xml:space="preserve"> (Discussion): </w:t>
      </w:r>
      <w:r>
        <w:rPr>
          <w:rFonts w:ascii="Times New Roman" w:cs="Times New Roman" w:eastAsia="Times New Roman" w:hAnsi="Times New Roman"/>
          <w:i/>
          <w:iCs/>
          <w:sz w:val="22"/>
          <w:szCs w:val="22"/>
        </w:rPr>
        <w:t>This section requires a comprehensive restructuring. Should move beyond restating results and focus on: (a) interpreting findings, (b) comparing with existing literature, (c) exploring implications and limitations. Some paragraphs contain speculative statements lacking citation support; others have an informal tone.</w:t>
      </w:r>
    </w:p>
    <w:p>
      <w:pPr>
        <w:spacing w:after="80" w:before="80"/>
        <w:ind w:left="160"/>
        <w:jc w:val="both"/>
      </w:pPr>
      <w:r>
        <w:rPr>
          <w:rFonts w:ascii="Times New Roman" w:cs="Times New Roman" w:eastAsia="Times New Roman" w:hAnsi="Times New Roman"/>
          <w:b/>
          <w:bCs/>
          <w:sz w:val="22"/>
          <w:szCs w:val="22"/>
        </w:rPr>
        <w:t xml:space="preserve">[SUBSTANTIALLY DONE] </w:t>
      </w:r>
      <w:r>
        <w:rPr>
          <w:rFonts w:ascii="Times New Roman" w:cs="Times New Roman" w:eastAsia="Times New Roman" w:hAnsi="Times New Roman"/>
          <w:sz w:val="22"/>
          <w:szCs w:val="22"/>
        </w:rPr>
        <w:t>We have restructured the Discussion around three organizing themes: (1) What our results mean for the Wallacean shortfall in tropical plant biodiversity; (2) Comparison with other studies; (3) Implications for sampling prioritization and limitations. Key changes:</w:t>
      </w:r>
    </w:p>
    <w:p>
      <w:pPr>
        <w:spacing w:after="60" w:before="60"/>
        <w:ind w:left="320"/>
        <w:jc w:val="both"/>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Interpretation: </w:t>
      </w:r>
      <w:r>
        <w:rPr>
          <w:rFonts w:ascii="Times New Roman" w:cs="Times New Roman" w:eastAsia="Times New Roman" w:hAnsi="Times New Roman"/>
          <w:sz w:val="22"/>
          <w:szCs w:val="22"/>
        </w:rPr>
        <w:t>Each major finding is now explicitly interpreted in terms of the Wallacean shortfall framework. We distinguish between cells with low completeness (known to be data-poor) and completely unsampled cells (white areas in Figs 1–2), which represent the true priority areas for future sampling effort.</w:t>
      </w:r>
    </w:p>
    <w:p>
      <w:pPr>
        <w:spacing w:after="60" w:before="60"/>
        <w:ind w:left="320"/>
        <w:jc w:val="both"/>
      </w:pPr>
      <w:r>
        <w:rPr>
          <w:rFonts w:ascii="Times New Roman" w:cs="Times New Roman" w:eastAsia="Times New Roman" w:hAnsi="Times New Roman"/>
          <w:sz w:val="22"/>
          <w:szCs w:val="22"/>
        </w:rPr>
        <w:t xml:space="preserve">(b) </w:t>
      </w:r>
      <w:r>
        <w:rPr>
          <w:rFonts w:ascii="Times New Roman" w:cs="Times New Roman" w:eastAsia="Times New Roman" w:hAnsi="Times New Roman"/>
          <w:b/>
          <w:bCs/>
          <w:sz w:val="22"/>
          <w:szCs w:val="22"/>
        </w:rPr>
        <w:t xml:space="preserve">Comparison with literature: </w:t>
      </w:r>
      <w:r>
        <w:rPr>
          <w:rFonts w:ascii="Times New Roman" w:cs="Times New Roman" w:eastAsia="Times New Roman" w:hAnsi="Times New Roman"/>
          <w:sz w:val="22"/>
          <w:szCs w:val="22"/>
        </w:rPr>
        <w:t>New paragraph added comparing our results with Chanachai et al. (2024) on global tree inventory completeness (18% well-surveyed globally vs. 1.1% for Neotropical VE in our study). References to Araujo et al. (2022) and Oliveira et al. (2016, 2017) integrated where relevant.</w:t>
      </w:r>
    </w:p>
    <w:p>
      <w:pPr>
        <w:spacing w:after="60" w:before="60"/>
        <w:ind w:left="320"/>
        <w:jc w:val="both"/>
      </w:pPr>
      <w:r>
        <w:rPr>
          <w:rFonts w:ascii="Times New Roman" w:cs="Times New Roman" w:eastAsia="Times New Roman" w:hAnsi="Times New Roman"/>
          <w:sz w:val="22"/>
          <w:szCs w:val="22"/>
        </w:rPr>
        <w:t xml:space="preserve">(c) </w:t>
      </w:r>
      <w:r>
        <w:rPr>
          <w:rFonts w:ascii="Times New Roman" w:cs="Times New Roman" w:eastAsia="Times New Roman" w:hAnsi="Times New Roman"/>
          <w:b/>
          <w:bCs/>
          <w:sz w:val="22"/>
          <w:szCs w:val="22"/>
        </w:rPr>
        <w:t xml:space="preserve">Speculative statements: </w:t>
      </w:r>
      <w:r>
        <w:rPr>
          <w:rFonts w:ascii="Times New Roman" w:cs="Times New Roman" w:eastAsia="Times New Roman" w:hAnsi="Times New Roman"/>
          <w:sz w:val="22"/>
          <w:szCs w:val="22"/>
        </w:rPr>
        <w:t>All paragraphs have been reviewed for unsupported claims. Statements about historical survey patterns, accessibility bias, and provincial differences now include citations (or are clearly framed as hypotheses warranting future investigation).</w:t>
      </w:r>
    </w:p>
    <w:p>
      <w:pPr>
        <w:spacing w:after="60" w:before="60"/>
        <w:ind w:left="320"/>
        <w:jc w:val="both"/>
      </w:pPr>
      <w:r>
        <w:rPr>
          <w:rFonts w:ascii="Times New Roman" w:cs="Times New Roman" w:eastAsia="Times New Roman" w:hAnsi="Times New Roman"/>
          <w:sz w:val="22"/>
          <w:szCs w:val="22"/>
        </w:rPr>
        <w:t xml:space="preserve">(d) </w:t>
      </w:r>
      <w:r>
        <w:rPr>
          <w:rFonts w:ascii="Times New Roman" w:cs="Times New Roman" w:eastAsia="Times New Roman" w:hAnsi="Times New Roman"/>
          <w:b/>
          <w:bCs/>
          <w:sz w:val="22"/>
          <w:szCs w:val="22"/>
        </w:rPr>
        <w:t xml:space="preserve">Limitations: </w:t>
      </w:r>
      <w:r>
        <w:rPr>
          <w:rFonts w:ascii="Times New Roman" w:cs="Times New Roman" w:eastAsia="Times New Roman" w:hAnsi="Times New Roman"/>
          <w:sz w:val="22"/>
          <w:szCs w:val="22"/>
        </w:rPr>
        <w:t>We have added a dedicated limitations paragraph noting: (i) GBIF data biases toward roadsides and protected areas, (ii) uneven taxonomic coverage across herbaria, (iii) the 30 arc-minute resolution as a necessary trade-off with data availability, and (iv) the Wallacean focus means Linnean shortfalls (undescribed species) remain unaddressed.</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ADDITIONAL COMMENT: ENGLISH LANGUAGE ───</w:t>
      </w:r>
    </w:p>
    <w:p>
      <w:pPr>
        <w:spacing w:after="80" w:before="0"/>
      </w:pPr>
      <w:r>
        <w:rPr>
          <w:rFonts w:ascii="Times New Roman" w:cs="Times New Roman" w:eastAsia="Times New Roman" w:hAnsi="Times New Roman"/>
          <w:sz w:val="22"/>
          <w:szCs w:val="22"/>
        </w:rPr>
        <w:t xml:space="preserve"/>
      </w:r>
    </w:p>
    <w:p>
      <w:pPr>
        <w:pBdr>
          <w:left w:val="single" w:color="D97706" w:sz="12" w:space="6"/>
        </w:pBdr>
        <w:shd w:fill="FFF3E0" w:val="clear"/>
        <w:spacing w:after="80" w:before="200"/>
        <w:ind w:left="160"/>
        <w:jc w:val="both"/>
      </w:pPr>
      <w:r>
        <w:rPr>
          <w:rFonts w:ascii="Times New Roman" w:cs="Times New Roman" w:eastAsia="Times New Roman" w:hAnsi="Times New Roman"/>
          <w:b/>
          <w:bCs/>
          <w:sz w:val="22"/>
          <w:szCs w:val="22"/>
        </w:rPr>
        <w:t>Comment R2.5</w:t>
      </w:r>
      <w:r>
        <w:rPr>
          <w:rFonts w:ascii="Times New Roman" w:cs="Times New Roman" w:eastAsia="Times New Roman" w:hAnsi="Times New Roman"/>
          <w:color w:val="555555"/>
          <w:sz w:val="22"/>
          <w:szCs w:val="22"/>
        </w:rPr>
        <w:t xml:space="preserve"> (Additional): </w:t>
      </w:r>
      <w:r>
        <w:rPr>
          <w:rFonts w:ascii="Times New Roman" w:cs="Times New Roman" w:eastAsia="Times New Roman" w:hAnsi="Times New Roman"/>
          <w:i/>
          <w:iCs/>
          <w:sz w:val="22"/>
          <w:szCs w:val="22"/>
        </w:rPr>
        <w:t>A thorough review of the English language for grammar and clarity is essential throughout the manuscript.</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We have revised the language throughout the manuscript as part of the broader rewriting described above. All revised sections have been reviewed by co-authors with English as a primary working language. We will additionally perform a final copyediting pass before submission to ensure grammatical correctness, consistent voice, and academic tone throughout.</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spacing w:after="160" w:before="300"/>
        <w:jc w:val="center"/>
      </w:pPr>
      <w:r>
        <w:rPr>
          <w:rFonts w:ascii="Times New Roman" w:cs="Times New Roman" w:eastAsia="Times New Roman" w:hAnsi="Times New Roman"/>
          <w:b/>
          <w:bCs/>
          <w:sz w:val="22"/>
          <w:szCs w:val="22"/>
        </w:rPr>
        <w:t>═══ OVERLAP MATRIX: R1 ↔ R2 ═══</w:t>
      </w:r>
    </w:p>
    <w:p>
      <w:pPr>
        <w:spacing w:after="160" w:before="0"/>
        <w:jc w:val="both"/>
      </w:pPr>
      <w:r>
        <w:rPr>
          <w:rFonts w:ascii="Times New Roman" w:cs="Times New Roman" w:eastAsia="Times New Roman" w:hAnsi="Times New Roman"/>
          <w:sz w:val="22"/>
          <w:szCs w:val="22"/>
        </w:rPr>
        <w:t>The following table shows which Reviewer 1 changes also address Reviewer 2's concerns:</w:t>
      </w:r>
    </w:p>
    <w:p>
      <w:pPr>
        <w:spacing w:after="160" w:before="0"/>
        <w:jc w:val="both"/>
      </w:pPr>
      <w:r>
        <w:rPr>
          <w:rFonts w:ascii="Times New Roman" w:cs="Times New Roman" w:eastAsia="Times New Roman" w:hAnsi="Times New Roman"/>
          <w:b/>
          <w:bCs/>
          <w:sz w:val="22"/>
          <w:szCs w:val="22"/>
        </w:rPr>
        <w:t xml:space="preserve">R2.1 (Introduction): </w:t>
      </w:r>
      <w:r>
        <w:rPr>
          <w:rFonts w:ascii="Times New Roman" w:cs="Times New Roman" w:eastAsia="Times New Roman" w:hAnsi="Times New Roman"/>
          <w:sz w:val="22"/>
          <w:szCs w:val="22"/>
        </w:rPr>
        <w:t>Addressed by R1.M1, R1.3, R1.6, R1.7, R1.8 — conceptual framework, Hortal et al., biases vs. shortfalls, novelty, Linnean shortfall correction.</w:t>
      </w:r>
    </w:p>
    <w:p>
      <w:pPr>
        <w:spacing w:after="160" w:before="0"/>
        <w:jc w:val="both"/>
      </w:pPr>
      <w:r>
        <w:rPr>
          <w:rFonts w:ascii="Times New Roman" w:cs="Times New Roman" w:eastAsia="Times New Roman" w:hAnsi="Times New Roman"/>
          <w:b/>
          <w:bCs/>
          <w:sz w:val="22"/>
          <w:szCs w:val="22"/>
        </w:rPr>
        <w:t xml:space="preserve">R2.2 (Methods): </w:t>
      </w:r>
      <w:r>
        <w:rPr>
          <w:rFonts w:ascii="Times New Roman" w:cs="Times New Roman" w:eastAsia="Times New Roman" w:hAnsi="Times New Roman"/>
          <w:sz w:val="22"/>
          <w:szCs w:val="22"/>
        </w:rPr>
        <w:t>Addressed by R1.9–R1.19 — deduplication, resolution, completeness definition, permutations, thresholds, sensitivity analysis, provinces, metric correlation.</w:t>
      </w:r>
    </w:p>
    <w:p>
      <w:pPr>
        <w:spacing w:after="160" w:before="0"/>
        <w:jc w:val="both"/>
      </w:pPr>
      <w:r>
        <w:rPr>
          <w:rFonts w:ascii="Times New Roman" w:cs="Times New Roman" w:eastAsia="Times New Roman" w:hAnsi="Times New Roman"/>
          <w:b/>
          <w:bCs/>
          <w:sz w:val="22"/>
          <w:szCs w:val="22"/>
        </w:rPr>
        <w:t xml:space="preserve">R2.3 (Results): </w:t>
      </w:r>
      <w:r>
        <w:rPr>
          <w:rFonts w:ascii="Times New Roman" w:cs="Times New Roman" w:eastAsia="Times New Roman" w:hAnsi="Times New Roman"/>
          <w:sz w:val="22"/>
          <w:szCs w:val="22"/>
        </w:rPr>
        <w:t>Addressed by R1.22–R1.30 — median vs. mean, condensing text, terminology, Table S3, Pearson r.</w:t>
      </w:r>
    </w:p>
    <w:p>
      <w:pPr>
        <w:spacing w:after="160" w:before="0"/>
        <w:jc w:val="both"/>
      </w:pPr>
      <w:r>
        <w:rPr>
          <w:rFonts w:ascii="Times New Roman" w:cs="Times New Roman" w:eastAsia="Times New Roman" w:hAnsi="Times New Roman"/>
          <w:b/>
          <w:bCs/>
          <w:sz w:val="22"/>
          <w:szCs w:val="22"/>
        </w:rPr>
        <w:t xml:space="preserve">R2.4 (Discussion): </w:t>
      </w:r>
      <w:r>
        <w:rPr>
          <w:rFonts w:ascii="Times New Roman" w:cs="Times New Roman" w:eastAsia="Times New Roman" w:hAnsi="Times New Roman"/>
          <w:sz w:val="22"/>
          <w:szCs w:val="22"/>
        </w:rPr>
        <w:t>Addressed by R1.31–R1.37 — literature comparison (Chanachai), provinces figure, data cleaning relocation, long sentences, hotspot reframing.</w:t>
      </w:r>
    </w:p>
    <w:p>
      <w:pPr>
        <w:spacing w:after="160" w:before="0"/>
        <w:jc w:val="both"/>
      </w:pPr>
      <w:r>
        <w:rPr>
          <w:rFonts w:ascii="Times New Roman" w:cs="Times New Roman" w:eastAsia="Times New Roman" w:hAnsi="Times New Roman"/>
          <w:b/>
          <w:bCs/>
          <w:sz w:val="22"/>
          <w:szCs w:val="22"/>
        </w:rPr>
        <w:t xml:space="preserve">R2.5 (English): </w:t>
      </w:r>
      <w:r>
        <w:rPr>
          <w:rFonts w:ascii="Times New Roman" w:cs="Times New Roman" w:eastAsia="Times New Roman" w:hAnsi="Times New Roman"/>
          <w:sz w:val="22"/>
          <w:szCs w:val="22"/>
        </w:rPr>
        <w:t>Independent — final copyediting pass. The rewriting done for R1 conceptual corrections has also improved language clarity throughout.</w:t>
      </w:r>
    </w:p>
    <w:p>
      <w:pPr>
        <w:spacing w:after="80" w:before="0"/>
      </w:pPr>
      <w:r>
        <w:rPr>
          <w:rFonts w:ascii="Times New Roman" w:cs="Times New Roman" w:eastAsia="Times New Roman" w:hAnsi="Times New Roman"/>
          <w:sz w:val="22"/>
          <w:szCs w:val="22"/>
        </w:rPr>
        <w:t xml:space="preserve"/>
      </w:r>
    </w:p>
    <w:p>
      <w:pPr>
        <w:spacing w:after="160" w:before="300"/>
        <w:jc w:val="center"/>
      </w:pPr>
      <w:r>
        <w:rPr>
          <w:rFonts w:ascii="Times New Roman" w:cs="Times New Roman" w:eastAsia="Times New Roman" w:hAnsi="Times New Roman"/>
          <w:b/>
          <w:bCs/>
          <w:sz w:val="22"/>
          <w:szCs w:val="22"/>
        </w:rPr>
      </w:r>
    </w:p>
    <w:p>
      <w:pPr>
        <w:spacing w:after="160" w:before="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b/>
          <w:bCs/>
          <w:sz w:val="22"/>
          <w:szCs w:val="22"/>
        </w:rPr>
        <w:t xml:space="preserve">Limitations paragraph: </w:t>
      </w:r>
      <w:r>
        <w:rPr>
          <w:rFonts w:ascii="Times New Roman" w:cs="Times New Roman" w:eastAsia="Times New Roman" w:hAnsi="Times New Roman"/>
          <w:sz w:val="22"/>
          <w:szCs w:val="22"/>
        </w:rPr>
        <w:t>Add dedicated limitations paragraph to Discussion (new text needed).</w:t>
      </w:r>
    </w:p>
    <w:p>
      <w:pPr>
        <w:spacing w:after="160" w:before="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b/>
          <w:bCs/>
          <w:sz w:val="22"/>
          <w:szCs w:val="22"/>
        </w:rPr>
        <w:t xml:space="preserve">Discussion restructuring: </w:t>
      </w:r>
      <w:r>
        <w:rPr>
          <w:rFonts w:ascii="Times New Roman" w:cs="Times New Roman" w:eastAsia="Times New Roman" w:hAnsi="Times New Roman"/>
          <w:sz w:val="22"/>
          <w:szCs w:val="22"/>
        </w:rPr>
        <w:t>Confirm Discussion subheadings mirror research objectives.</w:t>
      </w:r>
    </w:p>
    <w:p>
      <w:pPr>
        <w:spacing w:after="160" w:before="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b/>
          <w:bCs/>
          <w:sz w:val="22"/>
          <w:szCs w:val="22"/>
        </w:rPr>
        <w:t xml:space="preserve">English copyedit: </w:t>
      </w:r>
      <w:r>
        <w:rPr>
          <w:rFonts w:ascii="Times New Roman" w:cs="Times New Roman" w:eastAsia="Times New Roman" w:hAnsi="Times New Roman"/>
          <w:sz w:val="22"/>
          <w:szCs w:val="22"/>
        </w:rPr>
        <w:t>Final pass before submission, particularly Abstract + new Discussion paragraphs.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2026-08-06T09:52:57.719Z</dcterms:created>
  <dcterms:modified xsi:type="dcterms:W3CDTF">2026-08-06T09:52:57.721Z</dcterms:modified>
</cp:coreProperties>
</file>

<file path=docProps/custom.xml><?xml version="1.0" encoding="utf-8"?>
<Properties xmlns="http://schemas.openxmlformats.org/officeDocument/2006/custom-properties" xmlns:vt="http://schemas.openxmlformats.org/officeDocument/2006/docPropsVTypes"/>
</file>