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  <w:t>11.1 ISO Standards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The International Organisation for Standardization creates standards for a wide range of topics. There are hundreds of such standards, and it would be impossible to cover them in a single chapter. In fact, each standard could be the subject of a chapter, or at least a few chapters. Some of the more important standards for network security are listed here: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ISO/IEC 15408: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The Common Criteria for Information Technology Security Evaluation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ISO/IEC 25000: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Systems and Software Engineering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ISO/IEC 27000: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Information technology — Security Technology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ISO/IEC 27001: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Information Security Management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ISO/IEC 27005: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Risk Management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ISO/IEC 27006: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Accredited Certification Standard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ISO/IEC 28000: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Specification for security management systems for the supply chain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27002: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Information Security Controls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27003: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ISMS Implementation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27004: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IS Metrics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27005: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Risk management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27006: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ISMS certification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27007: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Management System Auditing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27008: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Technical Auditing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27010: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Inter-organisation communication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27011: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Telecommunications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27033: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Network security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27034: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Application security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27035: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Incident Management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27036: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Supply chain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27037: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Digital forensics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27038: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Document reduction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27039: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Intrusion prevention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27040: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Storage security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27041: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Investigation assurance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27042: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Analysing digital evidence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  <w:sz w:val="27"/>
        </w:rPr>
        <w:t>ISO 27043: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 Incident Investigation</w:t>
      </w:r>
    </w:p>
    <w:p>
      <w:pPr>
        <w:pStyle w:val="Normal"/>
        <w:rPr>
          <w:u w:val="double"/>
        </w:rPr>
      </w:pPr>
      <w:r>
        <w:rPr>
          <w:u w:val="doub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219</Words>
  <Characters>1244</Characters>
  <CharactersWithSpaces>1408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2020-06-13T04:02:02Z</dcterms:created>
  <dc:creator/>
  <dc:description/>
  <dc:language>en-IN</dc:language>
  <cp:lastModifiedBy/>
  <dcterms:modified xsi:type="dcterms:W3CDTF">2020-06-13T04:02:13Z</dcterms:modified>
  <cp:revision>1</cp:revision>
  <dc:subject/>
  <dc:title/>
</cp:coreProperties>
</file>