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9.2 Guided Exercise: Analysing Policies</w:t>
      </w:r>
    </w:p>
    <w:tbl>
      <w:tblPr>
        <w:tblW w:w="3458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1729"/>
        <w:gridCol w:w="1729"/>
      </w:tblGrid>
      <w:tr>
        <w:trPr/>
        <w:tc>
          <w:tcPr>
            <w:tcW w:w="345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 xml:space="preserve">Resources </w:t>
            </w:r>
          </w:p>
        </w:tc>
      </w:tr>
      <w:tr>
        <w:trPr/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17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Windows 10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 you will use the PolicyAnalyser tool to analyse existing policies and provide recommendations.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Login to Windows 10 and open the Desktop folder Exercises -&gt; PolicyAnalyzer.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0095" cy="4453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Double click the file PolicyAnalyzer to start it. Click run on the Security Warning window.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5615" cy="4358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2298065</wp:posOffset>
            </wp:positionH>
            <wp:positionV relativeFrom="paragraph">
              <wp:posOffset>45720</wp:posOffset>
            </wp:positionV>
            <wp:extent cx="4248150" cy="33000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Check the box Local Policy and then click on View/Comapre button. Click Yes on the User Account Control Window and click Run on the Security Warning window.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Once the results are shown scroll till you find the Policy Setting for SAM. The Local policy says No Auditing. What will your recommendation be?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340" cy="4321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A recommendation will be to audit such object as the SAM file contains the password hashes for the Windows users.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106</Words>
  <Characters>558</Characters>
  <CharactersWithSpaces>654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2020-06-13T03:27:13Z</dcterms:created>
  <dc:creator/>
  <dc:description/>
  <dc:language>en-IN</dc:language>
  <cp:lastModifiedBy/>
  <dcterms:modified xsi:type="dcterms:W3CDTF">2020-06-13T03:29:35Z</dcterms:modified>
  <cp:revision>2</cp:revision>
  <dc:subject/>
  <dc:title/>
</cp:coreProperties>
</file>