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Arial" w:hAnsi="Arial"/>
          <w:b/>
          <w:color w:val="1B365D"/>
          <w:sz w:val="44"/>
        </w:rPr>
        <w:t>DATA ACQUISITION, CLEANING, AND EXPLORATORY ANALYSIS</w:t>
      </w:r>
    </w:p>
    <w:p>
      <w:pPr>
        <w:spacing w:before="0" w:after="280"/>
      </w:pPr>
      <w:r>
        <w:rPr>
          <w:rFonts w:ascii="Arial" w:hAnsi="Arial"/>
          <w:i/>
          <w:color w:val="2C5282"/>
          <w:sz w:val="24"/>
        </w:rPr>
        <w:t>Week 1 Technical Report | Empirical Data Preparation &amp; Statistical EDA Workflow</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04"/>
            <w:shd w:fill="1B365D"/>
            <w:tcMar>
              <w:top w:w="100" w:type="dxa"/>
              <w:bottom w:w="100" w:type="dxa"/>
              <w:left w:w="120" w:type="dxa"/>
              <w:right w:w="120" w:type="dxa"/>
            </w:tcMar>
          </w:tcPr>
          <w:p>
            <w:pPr>
              <w:jc w:val="left"/>
            </w:pPr>
            <w:r>
              <w:rPr>
                <w:rFonts w:ascii="Arial" w:hAnsi="Arial"/>
                <w:b/>
                <w:color w:val="FFFFFF"/>
                <w:sz w:val="19"/>
              </w:rPr>
              <w:t>Project Track</w:t>
            </w:r>
          </w:p>
        </w:tc>
        <w:tc>
          <w:tcPr>
            <w:tcW w:type="dxa" w:w="2304"/>
            <w:shd w:fill="1B365D"/>
            <w:tcMar>
              <w:top w:w="100" w:type="dxa"/>
              <w:bottom w:w="100" w:type="dxa"/>
              <w:left w:w="120" w:type="dxa"/>
              <w:right w:w="120" w:type="dxa"/>
            </w:tcMar>
          </w:tcPr>
          <w:p>
            <w:pPr>
              <w:jc w:val="left"/>
            </w:pPr>
            <w:r>
              <w:rPr>
                <w:rFonts w:ascii="Arial" w:hAnsi="Arial"/>
                <w:b/>
                <w:color w:val="FFFFFF"/>
                <w:sz w:val="19"/>
              </w:rPr>
              <w:t>Target Domain</w:t>
            </w:r>
          </w:p>
        </w:tc>
        <w:tc>
          <w:tcPr>
            <w:tcW w:type="dxa" w:w="2304"/>
            <w:shd w:fill="1B365D"/>
            <w:tcMar>
              <w:top w:w="100" w:type="dxa"/>
              <w:bottom w:w="100" w:type="dxa"/>
              <w:left w:w="120" w:type="dxa"/>
              <w:right w:w="120" w:type="dxa"/>
            </w:tcMar>
          </w:tcPr>
          <w:p>
            <w:pPr>
              <w:jc w:val="left"/>
            </w:pPr>
            <w:r>
              <w:rPr>
                <w:rFonts w:ascii="Arial" w:hAnsi="Arial"/>
                <w:b/>
                <w:color w:val="FFFFFF"/>
                <w:sz w:val="19"/>
              </w:rPr>
              <w:t>Analysis Scope</w:t>
            </w:r>
          </w:p>
        </w:tc>
        <w:tc>
          <w:tcPr>
            <w:tcW w:type="dxa" w:w="2448"/>
            <w:shd w:fill="1B365D"/>
            <w:tcMar>
              <w:top w:w="100" w:type="dxa"/>
              <w:bottom w:w="100" w:type="dxa"/>
              <w:left w:w="120" w:type="dxa"/>
              <w:right w:w="120" w:type="dxa"/>
            </w:tcMar>
          </w:tcPr>
          <w:p>
            <w:pPr>
              <w:jc w:val="left"/>
            </w:pPr>
            <w:r>
              <w:rPr>
                <w:rFonts w:ascii="Arial" w:hAnsi="Arial"/>
                <w:b/>
                <w:color w:val="FFFFFF"/>
                <w:sz w:val="19"/>
              </w:rPr>
              <w:t>Environment</w:t>
            </w:r>
          </w:p>
        </w:tc>
      </w:tr>
      <w:tr>
        <w:tc>
          <w:tcPr>
            <w:tcW w:type="dxa" w:w="2340"/>
          </w:tcPr>
          <w:p/>
        </w:tc>
        <w:tc>
          <w:tcPr>
            <w:tcW w:type="dxa" w:w="2340"/>
          </w:tcPr>
          <w:p/>
        </w:tc>
        <w:tc>
          <w:tcPr>
            <w:tcW w:type="dxa" w:w="2340"/>
          </w:tcPr>
          <w:p/>
        </w:tc>
        <w:tc>
          <w:tcPr>
            <w:tcW w:type="dxa" w:w="2340"/>
          </w:tcPr>
          <w:p/>
        </w:tc>
      </w:tr>
      <w:tr>
        <w:tc>
          <w:tcPr>
            <w:tcW w:type="dxa" w:w="2304"/>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2D3748"/>
                <w:sz w:val="18"/>
              </w:rPr>
              <w:t>Data Science Core</w:t>
            </w:r>
          </w:p>
        </w:tc>
        <w:tc>
          <w:tcPr>
            <w:tcW w:type="dxa" w:w="2304"/>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2D3748"/>
                <w:sz w:val="18"/>
              </w:rPr>
              <w:t>Telecommunications</w:t>
            </w:r>
          </w:p>
        </w:tc>
        <w:tc>
          <w:tcPr>
            <w:tcW w:type="dxa" w:w="2304"/>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2D3748"/>
                <w:sz w:val="18"/>
              </w:rPr>
              <w:t>7,043 Records / 21 Attributes</w:t>
            </w:r>
          </w:p>
        </w:tc>
        <w:tc>
          <w:tcPr>
            <w:tcW w:type="dxa" w:w="2448"/>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2D3748"/>
                <w:sz w:val="18"/>
              </w:rPr>
              <w:t>Python 3.14 (Pandas, SciPy, Seaborn)</w:t>
            </w:r>
          </w:p>
        </w:tc>
      </w:tr>
    </w:tbl>
    <w:p>
      <w:pPr>
        <w:spacing w:before="240" w:after="240"/>
      </w:pPr>
    </w:p>
    <w:p>
      <w:pPr>
        <w:spacing w:before="280" w:after="120"/>
      </w:pPr>
      <w:r>
        <w:rPr>
          <w:b/>
          <w:color w:val="1B365D"/>
          <w:sz w:val="30"/>
        </w:rPr>
        <w:t>EXECUTIVE SUMMARY</w:t>
      </w:r>
    </w:p>
    <w:p>
      <w:pPr>
        <w:spacing w:before="0" w:after="120" w:line="276" w:lineRule="auto"/>
      </w:pPr>
      <w:r>
        <w:t>Data preparation constitutes an estimated 70% to 80% of any production-grade data science workflow. Raw datasets retrieved from business operating systems, CRM databases, and transactional APIs inevitably contain structural imperfections, subtle missingness encodings, invalid type coercions, and extreme distributional skews. This technical deliverable documents the systematic execution of the Week 1 milestone: from automated public data acquisition through forensic data cleaning, rigorous anomaly resolution, and multi-dimensional exploratory data analysis (EDA).</w:t>
        <w:br/>
        <w:br/>
        <w:t>Using the benchmark IBM Telco Customer Churn &amp; Retention dataset (comprising 7,043 customer accounts across 21 multi-modal attributes), we uncovered and remediated critical data pathologies—including 11 hidden whitespace null values masked as string characters in the financial records of new accounts. Through bivariate hypothesis testing, parametric and non-parametric tests, and 5 high-resolution visualization suites, we identified the primary catalysts of customer attrition: short-tenure vulnerability, month-to-month contract commitments, unmitigated fiber-optic broadband churn (41.9%), and electronic check billing friction. The resulting curated dataset achieves 100.0% completeness and establishes a mathematically verified foundation for downstream predictive modeling.</w:t>
      </w:r>
    </w:p>
    <w:p>
      <w:pPr>
        <w:spacing w:before="320" w:after="120"/>
      </w:pPr>
      <w:r>
        <w:rPr>
          <w:b/>
          <w:color w:val="1B365D"/>
          <w:sz w:val="30"/>
        </w:rPr>
        <w:t>1.0 TASK OBJECTIVE &amp; DOMAIN PROBLEM FORMULATION</w:t>
      </w:r>
    </w:p>
    <w:p>
      <w:pPr>
        <w:spacing w:before="0" w:after="120" w:line="276" w:lineRule="auto"/>
      </w:pPr>
      <w:r>
        <w:t>In modern subscription-based business models, the financial viability of an enterprise hinges on customer lifetime value (CLV) and customer retention. Acquiring a new customer costs 5 to 7 times more than retaining an existing account. Consequently, telecommunication providers require high-fidelity telemetry on subscriber behaviors, contracted services, and billing patterns. The objective of Week 1 is to simulate and execute a complete, professional data engineering and exploratory preparation pipeline on an authentic, publicly accessible enterprise dataset. Specifically, this work entails:</w:t>
        <w:br/>
      </w:r>
    </w:p>
    <w:p>
      <w:pPr>
        <w:pStyle w:val="ListBullet"/>
        <w:spacing w:before="0" w:after="40"/>
      </w:pPr>
      <w:r>
        <w:rPr>
          <w:b/>
          <w:color w:val="2C5282"/>
        </w:rPr>
        <w:t xml:space="preserve">Automated Data Acquisition: </w:t>
      </w:r>
      <w:r>
        <w:t>Programmatically retrieving the dataset from a remote public endpoint, establishing reproducible data provenance and verifying file integrity.</w:t>
      </w:r>
    </w:p>
    <w:p>
      <w:pPr>
        <w:pStyle w:val="ListBullet"/>
        <w:spacing w:before="0" w:after="40"/>
      </w:pPr>
      <w:r>
        <w:rPr>
          <w:b/>
          <w:color w:val="2C5282"/>
        </w:rPr>
        <w:t xml:space="preserve">Forensic Data Auditing: </w:t>
      </w:r>
      <w:r>
        <w:t>Inspecting schema structures, diagnosing hidden missing data, auditing unique keys, and identifying data type violations.</w:t>
      </w:r>
    </w:p>
    <w:p>
      <w:pPr>
        <w:pStyle w:val="ListBullet"/>
        <w:spacing w:before="0" w:after="40"/>
      </w:pPr>
      <w:r>
        <w:rPr>
          <w:b/>
          <w:color w:val="2C5282"/>
        </w:rPr>
        <w:t xml:space="preserve">Evidence-Based Cleaning &amp; Imputation: </w:t>
      </w:r>
      <w:r>
        <w:t>Resolving anomalies using domain logic and mathematical justifications rather than indiscriminate data deletion.</w:t>
      </w:r>
    </w:p>
    <w:p>
      <w:pPr>
        <w:pStyle w:val="ListBullet"/>
        <w:spacing w:before="0" w:after="40"/>
      </w:pPr>
      <w:r>
        <w:rPr>
          <w:b/>
          <w:color w:val="2C5282"/>
        </w:rPr>
        <w:t xml:space="preserve">Exploratory Data Analysis (EDA): </w:t>
      </w:r>
      <w:r>
        <w:t>Extracting parametric and non-parametric summary metrics, conducting formal hypothesis tests, and quantifying variance.</w:t>
      </w:r>
    </w:p>
    <w:p>
      <w:pPr>
        <w:pStyle w:val="ListBullet"/>
        <w:spacing w:before="0" w:after="40"/>
      </w:pPr>
      <w:r>
        <w:rPr>
          <w:b/>
          <w:color w:val="2C5282"/>
        </w:rPr>
        <w:t xml:space="preserve">High-Impact Visualization: </w:t>
      </w:r>
      <w:r>
        <w:t>Rendering publication-grade visual artifacts that illuminate core relationships, demographic risk factors, and churn drivers.</w:t>
      </w:r>
    </w:p>
    <w:p>
      <w:pPr>
        <w:pStyle w:val="ListBullet"/>
        <w:spacing w:before="0" w:after="40"/>
      </w:pPr>
      <w:r>
        <w:rPr>
          <w:b/>
          <w:color w:val="2C5282"/>
        </w:rPr>
        <w:t xml:space="preserve">Strategic Synthesis: </w:t>
      </w:r>
      <w:r>
        <w:t>Translating empirical findings into actionable business recommendations and defining feature engineering roadmaps.</w:t>
      </w:r>
    </w:p>
    <w:p>
      <w:pPr>
        <w:spacing w:before="320" w:after="120"/>
      </w:pPr>
      <w:r>
        <w:rPr>
          <w:b/>
          <w:color w:val="1B365D"/>
          <w:sz w:val="30"/>
        </w:rPr>
        <w:t>2.0 DATA ACQUISITION ARCHITECTURE &amp; DATASET PROVENANCE</w:t>
      </w:r>
    </w:p>
    <w:p>
      <w:pPr>
        <w:spacing w:before="0" w:after="120" w:line="276" w:lineRule="auto"/>
      </w:pPr>
      <w:r>
        <w:t>A cornerstone of data science best practice is reproducibility. Rather than relying on manual file downloads or opaque spreadsheets, the acquisition phase was fully codified into an automated Python pipeline. The target dataset was sourced from the official IBM Open Datasets repository for customer retention analytics. The programmatic architecture employs idempotent downloading: checking for local cached copies, verifying content length, and logging structural dimensions upon ingest.</w:t>
      </w:r>
    </w:p>
    <w:tbl>
      <w:tblPr>
        <w:tblW w:type="auto" w:w="0"/>
        <w:jc w:val="center"/>
        <w:tblLayout w:type="fixed"/>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Borders>
              <w:top w:val="single" w:sz="8" w:space="0" w:color="CBD5E0"/>
              <w:left w:val="single" w:sz="8" w:space="0" w:color="CBD5E0"/>
              <w:bottom w:val="single" w:sz="8" w:space="0" w:color="CBD5E0"/>
              <w:right w:val="single" w:sz="8" w:space="0" w:color="CBD5E0"/>
            </w:tcBorders>
          </w:tcPr>
          <w:p>
            <w:pPr>
              <w:spacing w:before="0" w:after="0" w:line="252" w:lineRule="auto"/>
            </w:pPr>
            <w:r>
              <w:rPr>
                <w:rFonts w:ascii="Consolas" w:hAnsi="Consolas"/>
                <w:color w:val="718096"/>
                <w:sz w:val="17"/>
              </w:rPr>
              <w:t># [Python Snippet]</w:t>
              <w:br/>
            </w:r>
            <w:r>
              <w:rPr>
                <w:rFonts w:ascii="Consolas" w:hAnsi="Consolas"/>
                <w:color w:val="24292F"/>
                <w:sz w:val="17"/>
              </w:rPr>
              <w:t>def acquire_data():</w:t>
              <w:br/>
              <w:t xml:space="preserve">    """Acquires the dataset from the verified public repository."""</w:t>
              <w:br/>
              <w:t xml:space="preserve">    url = "https://raw.githubusercontent.com/IBM/telco-customer-churn-on-icp4d/master/data/Telco-Customer-Churn.csv"</w:t>
              <w:br/>
              <w:t xml:space="preserve">    if not os.path.exists(RAW_DATA_PATH):</w:t>
              <w:br/>
              <w:t xml:space="preserve">        urllib.request.urlretrieve(url, RAW_DATA_PATH)</w:t>
              <w:br/>
              <w:t xml:space="preserve">        print(f"[+] Download complete: saved to {RAW_DATA_PATH}")</w:t>
              <w:br/>
              <w:t xml:space="preserve">    df_raw = pd.read_csv(RAW_DATA_PATH)</w:t>
              <w:br/>
              <w:t xml:space="preserve">    return df_raw</w:t>
            </w:r>
          </w:p>
        </w:tc>
      </w:tr>
    </w:tbl>
    <w:p>
      <w:pPr>
        <w:spacing w:before="0" w:after="80"/>
      </w:pP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1B365D"/>
            <w:tcMar>
              <w:top w:w="100" w:type="dxa"/>
              <w:bottom w:w="100" w:type="dxa"/>
              <w:left w:w="120" w:type="dxa"/>
              <w:right w:w="120" w:type="dxa"/>
            </w:tcMar>
          </w:tcPr>
          <w:p>
            <w:pPr>
              <w:jc w:val="left"/>
            </w:pPr>
            <w:r>
              <w:rPr>
                <w:rFonts w:ascii="Arial" w:hAnsi="Arial"/>
                <w:b/>
                <w:color w:val="FFFFFF"/>
                <w:sz w:val="19"/>
              </w:rPr>
              <w:t>Attribute Name</w:t>
            </w:r>
          </w:p>
        </w:tc>
        <w:tc>
          <w:tcPr>
            <w:tcW w:type="dxa" w:w="2160"/>
            <w:shd w:fill="1B365D"/>
            <w:tcMar>
              <w:top w:w="100" w:type="dxa"/>
              <w:bottom w:w="100" w:type="dxa"/>
              <w:left w:w="120" w:type="dxa"/>
              <w:right w:w="120" w:type="dxa"/>
            </w:tcMar>
          </w:tcPr>
          <w:p>
            <w:pPr>
              <w:jc w:val="left"/>
            </w:pPr>
            <w:r>
              <w:rPr>
                <w:rFonts w:ascii="Arial" w:hAnsi="Arial"/>
                <w:b/>
                <w:color w:val="FFFFFF"/>
                <w:sz w:val="19"/>
              </w:rPr>
              <w:t>Source Standard</w:t>
            </w:r>
          </w:p>
        </w:tc>
        <w:tc>
          <w:tcPr>
            <w:tcW w:type="dxa" w:w="2160"/>
            <w:shd w:fill="1B365D"/>
            <w:tcMar>
              <w:top w:w="100" w:type="dxa"/>
              <w:bottom w:w="100" w:type="dxa"/>
              <w:left w:w="120" w:type="dxa"/>
              <w:right w:w="120" w:type="dxa"/>
            </w:tcMar>
          </w:tcPr>
          <w:p>
            <w:pPr>
              <w:jc w:val="left"/>
            </w:pPr>
            <w:r>
              <w:rPr>
                <w:rFonts w:ascii="Arial" w:hAnsi="Arial"/>
                <w:b/>
                <w:color w:val="FFFFFF"/>
                <w:sz w:val="19"/>
              </w:rPr>
              <w:t>Payload Verification</w:t>
            </w:r>
          </w:p>
        </w:tc>
        <w:tc>
          <w:tcPr>
            <w:tcW w:type="dxa" w:w="2448"/>
            <w:shd w:fill="1B365D"/>
            <w:tcMar>
              <w:top w:w="100" w:type="dxa"/>
              <w:bottom w:w="100" w:type="dxa"/>
              <w:left w:w="120" w:type="dxa"/>
              <w:right w:w="120" w:type="dxa"/>
            </w:tcMar>
          </w:tcPr>
          <w:p>
            <w:pPr>
              <w:jc w:val="left"/>
            </w:pPr>
            <w:r>
              <w:rPr>
                <w:rFonts w:ascii="Arial" w:hAnsi="Arial"/>
                <w:b/>
                <w:color w:val="FFFFFF"/>
                <w:sz w:val="19"/>
              </w:rPr>
              <w:t>Status</w:t>
            </w:r>
          </w:p>
        </w:tc>
      </w:tr>
      <w:tr>
        <w:tc>
          <w:tcPr>
            <w:tcW w:type="dxa" w:w="2592"/>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2D3748"/>
                <w:sz w:val="18"/>
              </w:rPr>
              <w:t>Repository URL</w:t>
            </w:r>
          </w:p>
        </w:tc>
        <w:tc>
          <w:tcPr>
            <w:tcW w:type="dxa" w:w="2160"/>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2D3748"/>
                <w:sz w:val="18"/>
              </w:rPr>
              <w:t>IBM GitHub Open Community</w:t>
            </w:r>
          </w:p>
        </w:tc>
        <w:tc>
          <w:tcPr>
            <w:tcW w:type="dxa" w:w="2160"/>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2D3748"/>
                <w:sz w:val="18"/>
              </w:rPr>
              <w:t>HTTP 200 OK (TLS 1.3)</w:t>
            </w:r>
          </w:p>
        </w:tc>
        <w:tc>
          <w:tcPr>
            <w:tcW w:type="dxa" w:w="2448"/>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2D3748"/>
                <w:sz w:val="18"/>
              </w:rPr>
              <w:t>Verified</w:t>
            </w:r>
          </w:p>
        </w:tc>
      </w:tr>
      <w:tr>
        <w:tc>
          <w:tcPr>
            <w:tcW w:type="dxa" w:w="2592"/>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2D3748"/>
                <w:sz w:val="18"/>
              </w:rPr>
              <w:t>File Format &amp; Encoding</w:t>
            </w:r>
          </w:p>
        </w:tc>
        <w:tc>
          <w:tcPr>
            <w:tcW w:type="dxa" w:w="2160"/>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2D3748"/>
                <w:sz w:val="18"/>
              </w:rPr>
              <w:t>Comma-Separated Values (CSV)</w:t>
            </w:r>
          </w:p>
        </w:tc>
        <w:tc>
          <w:tcPr>
            <w:tcW w:type="dxa" w:w="2160"/>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2D3748"/>
                <w:sz w:val="18"/>
              </w:rPr>
              <w:t>UTF-8 Standard</w:t>
            </w:r>
          </w:p>
        </w:tc>
        <w:tc>
          <w:tcPr>
            <w:tcW w:type="dxa" w:w="2448"/>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2D3748"/>
                <w:sz w:val="18"/>
              </w:rPr>
              <w:t>Verified</w:t>
            </w:r>
          </w:p>
        </w:tc>
      </w:tr>
      <w:tr>
        <w:tc>
          <w:tcPr>
            <w:tcW w:type="dxa" w:w="2592"/>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2D3748"/>
                <w:sz w:val="18"/>
              </w:rPr>
              <w:t>Byte Stream Size</w:t>
            </w:r>
          </w:p>
        </w:tc>
        <w:tc>
          <w:tcPr>
            <w:tcW w:type="dxa" w:w="2160"/>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2D3748"/>
                <w:sz w:val="18"/>
              </w:rPr>
              <w:t>970,457 Bytes (~947.7 KB)</w:t>
            </w:r>
          </w:p>
        </w:tc>
        <w:tc>
          <w:tcPr>
            <w:tcW w:type="dxa" w:w="2160"/>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2D3748"/>
                <w:sz w:val="18"/>
              </w:rPr>
              <w:t>Header &amp; Delimiter Validated</w:t>
            </w:r>
          </w:p>
        </w:tc>
        <w:tc>
          <w:tcPr>
            <w:tcW w:type="dxa" w:w="2448"/>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2D3748"/>
                <w:sz w:val="18"/>
              </w:rPr>
              <w:t>Verified</w:t>
            </w:r>
          </w:p>
        </w:tc>
      </w:tr>
      <w:tr>
        <w:tc>
          <w:tcPr>
            <w:tcW w:type="dxa" w:w="2592"/>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2D3748"/>
                <w:sz w:val="18"/>
              </w:rPr>
              <w:t>Raw Dimensionality</w:t>
            </w:r>
          </w:p>
        </w:tc>
        <w:tc>
          <w:tcPr>
            <w:tcW w:type="dxa" w:w="2160"/>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2D3748"/>
                <w:sz w:val="18"/>
              </w:rPr>
              <w:t>7,043 Rows × 21 Columns</w:t>
            </w:r>
          </w:p>
        </w:tc>
        <w:tc>
          <w:tcPr>
            <w:tcW w:type="dxa" w:w="2160"/>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2D3748"/>
                <w:sz w:val="18"/>
              </w:rPr>
              <w:t>Primary Key customerID Validated</w:t>
            </w:r>
          </w:p>
        </w:tc>
        <w:tc>
          <w:tcPr>
            <w:tcW w:type="dxa" w:w="2448"/>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2D3748"/>
                <w:sz w:val="18"/>
              </w:rPr>
              <w:t>Verified</w:t>
            </w:r>
          </w:p>
        </w:tc>
      </w:tr>
    </w:tbl>
    <w:p>
      <w:pPr>
        <w:spacing w:before="320" w:after="120"/>
      </w:pPr>
      <w:r>
        <w:rPr>
          <w:b/>
          <w:color w:val="1B365D"/>
          <w:sz w:val="30"/>
        </w:rPr>
        <w:t>3.0 INITIAL DATA AUDIT &amp; SCHEMA DIAGNOSTICS</w:t>
      </w:r>
    </w:p>
    <w:p>
      <w:pPr>
        <w:spacing w:before="0" w:after="120" w:line="276" w:lineRule="auto"/>
      </w:pPr>
      <w:r>
        <w:t>Upon initial ingest, automated diagnostic scripts were executed across all 21 feature columns. A standard execution of df.isnull().sum() reported exactly 0 missing values across all columns. However, deeper algorithmic auditing of data types and string lengths exposed two severe structural defects:</w:t>
        <w:br/>
        <w:br/>
        <w:t>1. Masked Missing Values in TotalCharges: While MonthlyCharges was correctly typed as float64, TotalCharges was ingested as object (string). String inspection revealed that 11 customer records contained pure whitespace (' ') characters. Standard null detectors treat non-empty string characters as valid observations, concealing missing financial data.</w:t>
        <w:br/>
        <w:t>2. Inconsistent Nominal Encoding: SeniorCitizen was encoded as integer values (0 and 1), whereas all other binary demographic columns (Partner, Dependents, PhoneService, PaperlessBilling, Churn) were recorded as string labels ('Yes' and 'No'). This introduces semantic inconsistency.</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592"/>
            <w:shd w:fill="1B365D"/>
            <w:tcMar>
              <w:top w:w="100" w:type="dxa"/>
              <w:bottom w:w="100" w:type="dxa"/>
              <w:left w:w="120" w:type="dxa"/>
              <w:right w:w="120" w:type="dxa"/>
            </w:tcMar>
          </w:tcPr>
          <w:p>
            <w:pPr>
              <w:jc w:val="left"/>
            </w:pPr>
            <w:r>
              <w:rPr>
                <w:rFonts w:ascii="Arial" w:hAnsi="Arial"/>
                <w:b/>
                <w:color w:val="FFFFFF"/>
                <w:sz w:val="19"/>
              </w:rPr>
              <w:t>Feature Group</w:t>
            </w:r>
          </w:p>
        </w:tc>
        <w:tc>
          <w:tcPr>
            <w:tcW w:type="dxa" w:w="1584"/>
            <w:shd w:fill="1B365D"/>
            <w:tcMar>
              <w:top w:w="100" w:type="dxa"/>
              <w:bottom w:w="100" w:type="dxa"/>
              <w:left w:w="120" w:type="dxa"/>
              <w:right w:w="120" w:type="dxa"/>
            </w:tcMar>
          </w:tcPr>
          <w:p>
            <w:pPr>
              <w:jc w:val="left"/>
            </w:pPr>
            <w:r>
              <w:rPr>
                <w:rFonts w:ascii="Arial" w:hAnsi="Arial"/>
                <w:b/>
                <w:color w:val="FFFFFF"/>
                <w:sz w:val="19"/>
              </w:rPr>
              <w:t>Columns Included</w:t>
            </w:r>
          </w:p>
        </w:tc>
        <w:tc>
          <w:tcPr>
            <w:tcW w:type="dxa" w:w="1728"/>
            <w:shd w:fill="1B365D"/>
            <w:tcMar>
              <w:top w:w="100" w:type="dxa"/>
              <w:bottom w:w="100" w:type="dxa"/>
              <w:left w:w="120" w:type="dxa"/>
              <w:right w:w="120" w:type="dxa"/>
            </w:tcMar>
          </w:tcPr>
          <w:p>
            <w:pPr>
              <w:jc w:val="left"/>
            </w:pPr>
            <w:r>
              <w:rPr>
                <w:rFonts w:ascii="Arial" w:hAnsi="Arial"/>
                <w:b/>
                <w:color w:val="FFFFFF"/>
                <w:sz w:val="19"/>
              </w:rPr>
              <w:t>Initial Ingest Type</w:t>
            </w:r>
          </w:p>
        </w:tc>
        <w:tc>
          <w:tcPr>
            <w:tcW w:type="dxa" w:w="1584"/>
            <w:shd w:fill="1B365D"/>
            <w:tcMar>
              <w:top w:w="100" w:type="dxa"/>
              <w:bottom w:w="100" w:type="dxa"/>
              <w:left w:w="120" w:type="dxa"/>
              <w:right w:w="120" w:type="dxa"/>
            </w:tcMar>
          </w:tcPr>
          <w:p>
            <w:pPr>
              <w:jc w:val="left"/>
            </w:pPr>
            <w:r>
              <w:rPr>
                <w:rFonts w:ascii="Arial" w:hAnsi="Arial"/>
                <w:b/>
                <w:color w:val="FFFFFF"/>
                <w:sz w:val="19"/>
              </w:rPr>
              <w:t>Target Type</w:t>
            </w:r>
          </w:p>
        </w:tc>
        <w:tc>
          <w:tcPr>
            <w:tcW w:type="dxa" w:w="1872"/>
            <w:shd w:fill="1B365D"/>
            <w:tcMar>
              <w:top w:w="100" w:type="dxa"/>
              <w:bottom w:w="100" w:type="dxa"/>
              <w:left w:w="120" w:type="dxa"/>
              <w:right w:w="120" w:type="dxa"/>
            </w:tcMar>
          </w:tcPr>
          <w:p>
            <w:pPr>
              <w:jc w:val="left"/>
            </w:pPr>
            <w:r>
              <w:rPr>
                <w:rFonts w:ascii="Arial" w:hAnsi="Arial"/>
                <w:b/>
                <w:color w:val="FFFFFF"/>
                <w:sz w:val="19"/>
              </w:rPr>
              <w:t>Diagnostic Finding</w:t>
            </w:r>
          </w:p>
        </w:tc>
      </w:tr>
      <w:tr>
        <w:tc>
          <w:tcPr>
            <w:tcW w:type="dxa" w:w="2592"/>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2D3748"/>
                <w:sz w:val="18"/>
              </w:rPr>
              <w:t>Customer Identifier</w:t>
            </w:r>
          </w:p>
        </w:tc>
        <w:tc>
          <w:tcPr>
            <w:tcW w:type="dxa" w:w="1584"/>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2D3748"/>
                <w:sz w:val="18"/>
              </w:rPr>
              <w:t>customerID</w:t>
            </w:r>
          </w:p>
        </w:tc>
        <w:tc>
          <w:tcPr>
            <w:tcW w:type="dxa" w:w="1728"/>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2D3748"/>
                <w:sz w:val="18"/>
              </w:rPr>
              <w:t>object (string)</w:t>
            </w:r>
          </w:p>
        </w:tc>
        <w:tc>
          <w:tcPr>
            <w:tcW w:type="dxa" w:w="1584"/>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2D3748"/>
                <w:sz w:val="18"/>
              </w:rPr>
              <w:t>string / ID</w:t>
            </w:r>
          </w:p>
        </w:tc>
        <w:tc>
          <w:tcPr>
            <w:tcW w:type="dxa" w:w="1872"/>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2D3748"/>
                <w:sz w:val="18"/>
              </w:rPr>
              <w:t>7,043 unique keys; 0 duplicates</w:t>
            </w:r>
          </w:p>
        </w:tc>
      </w:tr>
      <w:tr>
        <w:tc>
          <w:tcPr>
            <w:tcW w:type="dxa" w:w="2592"/>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2D3748"/>
                <w:sz w:val="18"/>
              </w:rPr>
              <w:t>Demographics</w:t>
            </w:r>
          </w:p>
        </w:tc>
        <w:tc>
          <w:tcPr>
            <w:tcW w:type="dxa" w:w="1584"/>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2D3748"/>
                <w:sz w:val="18"/>
              </w:rPr>
              <w:t>gender, SeniorCitizen, Partner, Dependents</w:t>
            </w:r>
          </w:p>
        </w:tc>
        <w:tc>
          <w:tcPr>
            <w:tcW w:type="dxa" w:w="1728"/>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2D3748"/>
                <w:sz w:val="18"/>
              </w:rPr>
              <w:t>object / int64</w:t>
            </w:r>
          </w:p>
        </w:tc>
        <w:tc>
          <w:tcPr>
            <w:tcW w:type="dxa" w:w="1584"/>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2D3748"/>
                <w:sz w:val="18"/>
              </w:rPr>
              <w:t>category</w:t>
            </w:r>
          </w:p>
        </w:tc>
        <w:tc>
          <w:tcPr>
            <w:tcW w:type="dxa" w:w="1872"/>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2D3748"/>
                <w:sz w:val="18"/>
              </w:rPr>
              <w:t>SeniorCitizen encoded as 0/1; needs uniformity</w:t>
            </w:r>
          </w:p>
        </w:tc>
      </w:tr>
      <w:tr>
        <w:tc>
          <w:tcPr>
            <w:tcW w:type="dxa" w:w="2592"/>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2D3748"/>
                <w:sz w:val="18"/>
              </w:rPr>
              <w:t>Account Services</w:t>
            </w:r>
          </w:p>
        </w:tc>
        <w:tc>
          <w:tcPr>
            <w:tcW w:type="dxa" w:w="1584"/>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2D3748"/>
                <w:sz w:val="18"/>
              </w:rPr>
              <w:t>PhoneService, MultipleLines, InternetService, OnlineSecurity, etc.</w:t>
            </w:r>
          </w:p>
        </w:tc>
        <w:tc>
          <w:tcPr>
            <w:tcW w:type="dxa" w:w="1728"/>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2D3748"/>
                <w:sz w:val="18"/>
              </w:rPr>
              <w:t>object</w:t>
            </w:r>
          </w:p>
        </w:tc>
        <w:tc>
          <w:tcPr>
            <w:tcW w:type="dxa" w:w="1584"/>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2D3748"/>
                <w:sz w:val="18"/>
              </w:rPr>
              <w:t>category</w:t>
            </w:r>
          </w:p>
        </w:tc>
        <w:tc>
          <w:tcPr>
            <w:tcW w:type="dxa" w:w="1872"/>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2D3748"/>
                <w:sz w:val="18"/>
              </w:rPr>
              <w:t>Service bundle indicators with multi-class options</w:t>
            </w:r>
          </w:p>
        </w:tc>
      </w:tr>
      <w:tr>
        <w:tc>
          <w:tcPr>
            <w:tcW w:type="dxa" w:w="2592"/>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2D3748"/>
                <w:sz w:val="18"/>
              </w:rPr>
              <w:t>Contract &amp; Billing</w:t>
            </w:r>
          </w:p>
        </w:tc>
        <w:tc>
          <w:tcPr>
            <w:tcW w:type="dxa" w:w="1584"/>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2D3748"/>
                <w:sz w:val="18"/>
              </w:rPr>
              <w:t>Contract, PaperlessBilling, PaymentMethod</w:t>
            </w:r>
          </w:p>
        </w:tc>
        <w:tc>
          <w:tcPr>
            <w:tcW w:type="dxa" w:w="1728"/>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2D3748"/>
                <w:sz w:val="18"/>
              </w:rPr>
              <w:t>object</w:t>
            </w:r>
          </w:p>
        </w:tc>
        <w:tc>
          <w:tcPr>
            <w:tcW w:type="dxa" w:w="1584"/>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2D3748"/>
                <w:sz w:val="18"/>
              </w:rPr>
              <w:t>category</w:t>
            </w:r>
          </w:p>
        </w:tc>
        <w:tc>
          <w:tcPr>
            <w:tcW w:type="dxa" w:w="1872"/>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2D3748"/>
                <w:sz w:val="18"/>
              </w:rPr>
              <w:t>PaymentMethod includes automated and manual options</w:t>
            </w:r>
          </w:p>
        </w:tc>
      </w:tr>
      <w:tr>
        <w:tc>
          <w:tcPr>
            <w:tcW w:type="dxa" w:w="2592"/>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2D3748"/>
                <w:sz w:val="18"/>
              </w:rPr>
              <w:t>Usage &amp; Financials</w:t>
            </w:r>
          </w:p>
        </w:tc>
        <w:tc>
          <w:tcPr>
            <w:tcW w:type="dxa" w:w="1584"/>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2D3748"/>
                <w:sz w:val="18"/>
              </w:rPr>
              <w:t>tenure, MonthlyCharges, TotalCharges</w:t>
            </w:r>
          </w:p>
        </w:tc>
        <w:tc>
          <w:tcPr>
            <w:tcW w:type="dxa" w:w="1728"/>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2D3748"/>
                <w:sz w:val="18"/>
              </w:rPr>
              <w:t>int64 / float64 / object</w:t>
            </w:r>
          </w:p>
        </w:tc>
        <w:tc>
          <w:tcPr>
            <w:tcW w:type="dxa" w:w="1584"/>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2D3748"/>
                <w:sz w:val="18"/>
              </w:rPr>
              <w:t>int64 / float64 / float64</w:t>
            </w:r>
          </w:p>
        </w:tc>
        <w:tc>
          <w:tcPr>
            <w:tcW w:type="dxa" w:w="1872"/>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2D3748"/>
                <w:sz w:val="18"/>
              </w:rPr>
              <w:t>TotalCharges corrupted by whitespace nulls</w:t>
            </w:r>
          </w:p>
        </w:tc>
      </w:tr>
    </w:tbl>
    <w:p>
      <w:pPr>
        <w:spacing w:before="320" w:after="120"/>
      </w:pPr>
      <w:r>
        <w:rPr>
          <w:b/>
          <w:color w:val="1B365D"/>
          <w:sz w:val="30"/>
        </w:rPr>
        <w:t>4.0 DATA CLEANING METHODOLOGY &amp; RIGOROUS RATIONALES</w:t>
      </w:r>
    </w:p>
    <w:p>
      <w:pPr>
        <w:spacing w:before="0" w:after="120" w:line="276" w:lineRule="auto"/>
      </w:pPr>
      <w:r>
        <w:t>A hallmark of sound data engineering is that no record is modified or imputed without explicit mathematical and domain justification. The following protocols were designed and applied systematically:</w:t>
      </w:r>
    </w:p>
    <w:tbl>
      <w:tblPr>
        <w:tblW w:type="auto" w:w="0"/>
        <w:jc w:val="center"/>
        <w:tblLayout w:type="fixed"/>
        <w:tblLook w:firstColumn="1" w:firstRow="1" w:lastColumn="0" w:lastRow="0" w:noHBand="0" w:noVBand="1" w:val="04A0"/>
      </w:tblPr>
      <w:tblGrid>
        <w:gridCol w:w="9360"/>
      </w:tblGrid>
      <w:tr>
        <w:tc>
          <w:tcPr>
            <w:tcW w:type="dxa" w:w="9360"/>
            <w:shd w:fill="EBF8FF"/>
            <w:tcMar>
              <w:top w:w="140" w:type="dxa"/>
              <w:bottom w:w="140" w:type="dxa"/>
              <w:left w:w="200" w:type="dxa"/>
              <w:right w:w="200" w:type="dxa"/>
            </w:tcMar>
            <w:tcBorders>
              <w:top w:val="none"/>
              <w:left w:val="single" w:sz="36" w:space="0" w:color="1B365D"/>
              <w:bottom w:val="none"/>
              <w:right w:val="none"/>
            </w:tcBorders>
          </w:tcPr>
          <w:p>
            <w:pPr>
              <w:spacing w:before="0" w:after="80"/>
            </w:pPr>
            <w:r>
              <w:rPr>
                <w:rFonts w:ascii="Arial" w:hAnsi="Arial"/>
                <w:b/>
                <w:color w:val="1B365D"/>
                <w:sz w:val="20"/>
              </w:rPr>
              <w:t>METHODOLOGICAL RATIONALE: ZERO-TENURE FINANCIAL IMPUTATION RATIONALE</w:t>
              <w:br/>
            </w:r>
            <w:r>
              <w:rPr>
                <w:rFonts w:ascii="Arial" w:hAnsi="Arial"/>
                <w:i/>
                <w:color w:val="2D3748"/>
                <w:sz w:val="19"/>
              </w:rPr>
              <w:t>A naive data cleaning approach might either delete the 11 records containing whitespace in TotalCharges or impute them with the overall mean ($2,283.30) or median ($1,394.55). Both naive approaches are catastrophic. Cross-feature analysis revealed that all 11 records possess tenure == 0. These customers signed contracts during the current billing cycle and have not yet completed their first month of service. Consequently, their accumulated historical billing is strictly $0.00. Imputing with the mean would falsely inject $2,280+ of phantom billing into newborn accounts. Deleting the records would delete valid newly enrolled customers, skewing contract acquisition metrics. Setting TotalCharges = 0.0 reflects exact business truth.</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Borders>
              <w:top w:val="single" w:sz="8" w:space="0" w:color="CBD5E0"/>
              <w:left w:val="single" w:sz="8" w:space="0" w:color="CBD5E0"/>
              <w:bottom w:val="single" w:sz="8" w:space="0" w:color="CBD5E0"/>
              <w:right w:val="single" w:sz="8" w:space="0" w:color="CBD5E0"/>
            </w:tcBorders>
          </w:tcPr>
          <w:p>
            <w:pPr>
              <w:spacing w:before="0" w:after="0" w:line="252" w:lineRule="auto"/>
            </w:pPr>
            <w:r>
              <w:rPr>
                <w:rFonts w:ascii="Consolas" w:hAnsi="Consolas"/>
                <w:color w:val="718096"/>
                <w:sz w:val="17"/>
              </w:rPr>
              <w:t># [Python Snippet]</w:t>
              <w:br/>
            </w:r>
            <w:r>
              <w:rPr>
                <w:rFonts w:ascii="Consolas" w:hAnsi="Consolas"/>
                <w:color w:val="24292F"/>
                <w:sz w:val="17"/>
              </w:rPr>
              <w:t># 1. Unmask hidden whitespace and coerce to numeric NaN</w:t>
              <w:br/>
              <w:t>df['TotalCharges'] = pd.to_numeric(df['TotalCharges'], errors='coerce')</w:t>
              <w:br/>
              <w:br/>
              <w:t># 2. Forensic verification: confirm all NaNs correspond to tenure == 0</w:t>
              <w:br/>
              <w:t>assert (df[df['TotalCharges'].isna()]['tenure'] == 0).all()</w:t>
              <w:br/>
              <w:br/>
              <w:t># 3. Logically justified imputation</w:t>
              <w:br/>
              <w:t>df.loc[df['tenure'] == 0, 'TotalCharges'] = 0.0</w:t>
              <w:br/>
              <w:br/>
              <w:t># 4. Standardize SeniorCitizen encoding</w:t>
              <w:br/>
              <w:t>df['SeniorCitizen'] = df['SeniorCitizen'].map({0: 'No', 1: 'Yes'}).astype('category')</w:t>
              <w:br/>
              <w:br/>
              <w:t># 5. Convert object columns to optimized categories</w:t>
              <w:br/>
              <w:t>for col in categorical_cols:</w:t>
              <w:br/>
              <w:t xml:space="preserve">    df[col] = df[col].astype('category')</w:t>
            </w:r>
          </w:p>
        </w:tc>
      </w:tr>
    </w:tbl>
    <w:p>
      <w:pPr>
        <w:spacing w:before="0" w:after="80"/>
      </w:pPr>
    </w:p>
    <w:p>
      <w:pPr>
        <w:spacing w:before="120" w:after="80"/>
      </w:pPr>
      <w:r>
        <w:rPr>
          <w:b/>
          <w:color w:val="2C5282"/>
        </w:rPr>
        <w:t>Outlier Evaluation &amp; Tukey's Fences Rationale:</w:t>
      </w:r>
    </w:p>
    <w:p>
      <w:pPr>
        <w:spacing w:before="0" w:after="120" w:line="276" w:lineRule="auto"/>
      </w:pPr>
      <w:r>
        <w:t>Continuous variables were audited using Tukey's Interquartile Range method (IQR = Q3 - Q1, with fences at Q1 - 1.5*IQR and Q3 + 1.5*IQR). For tenure (range 0 to 72 months) and MonthlyCharges (range $18.25 to $118.75), exactly 0 outliers were identified outside Tukey fences. For TotalCharges (range $0.00 to $8,684.80), the distribution is right-skewed (skewness = +0.96) due to high-tenure multi-service accounts. While statistical packages might flag high TotalCharges as potential outliers, these represent legitimate high-value customers accumulating charges over 6 years. Crucially, these points represent genuine domain behavior rather than sensor error or typographical flaws; hence, they were retained without distortion.</w:t>
      </w:r>
    </w:p>
    <w:p>
      <w:pPr>
        <w:spacing w:before="320" w:after="120"/>
      </w:pPr>
      <w:r>
        <w:rPr>
          <w:b/>
          <w:color w:val="1B365D"/>
          <w:sz w:val="30"/>
        </w:rPr>
        <w:t>5.0 EXPLORATORY DATA ANALYSIS &amp; STATISTICAL FORMULATIONS</w:t>
      </w:r>
    </w:p>
    <w:p>
      <w:pPr>
        <w:spacing w:before="0" w:after="120" w:line="276" w:lineRule="auto"/>
      </w:pPr>
      <w:r>
        <w:t>To rigorously quantify distributional characteristics and test relationship significance, we computed parametric and non-parametric summary metrics, followed by hypothesis tests comparing retained vs. churned cohorts.</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2160"/>
            <w:shd w:fill="1B365D"/>
            <w:tcMar>
              <w:top w:w="100" w:type="dxa"/>
              <w:bottom w:w="100" w:type="dxa"/>
              <w:left w:w="120" w:type="dxa"/>
              <w:right w:w="120" w:type="dxa"/>
            </w:tcMar>
          </w:tcPr>
          <w:p>
            <w:pPr>
              <w:jc w:val="left"/>
            </w:pPr>
            <w:r>
              <w:rPr>
                <w:rFonts w:ascii="Arial" w:hAnsi="Arial"/>
                <w:b/>
                <w:color w:val="FFFFFF"/>
                <w:sz w:val="19"/>
              </w:rPr>
              <w:t>Metric Name</w:t>
            </w:r>
          </w:p>
        </w:tc>
        <w:tc>
          <w:tcPr>
            <w:tcW w:type="dxa" w:w="1152"/>
            <w:shd w:fill="1B365D"/>
            <w:tcMar>
              <w:top w:w="100" w:type="dxa"/>
              <w:bottom w:w="100" w:type="dxa"/>
              <w:left w:w="120" w:type="dxa"/>
              <w:right w:w="120" w:type="dxa"/>
            </w:tcMar>
          </w:tcPr>
          <w:p>
            <w:pPr>
              <w:jc w:val="right"/>
            </w:pPr>
            <w:r>
              <w:rPr>
                <w:rFonts w:ascii="Arial" w:hAnsi="Arial"/>
                <w:b/>
                <w:color w:val="FFFFFF"/>
                <w:sz w:val="19"/>
              </w:rPr>
              <w:t>Mean</w:t>
            </w:r>
          </w:p>
        </w:tc>
        <w:tc>
          <w:tcPr>
            <w:tcW w:type="dxa" w:w="1152"/>
            <w:shd w:fill="1B365D"/>
            <w:tcMar>
              <w:top w:w="100" w:type="dxa"/>
              <w:bottom w:w="100" w:type="dxa"/>
              <w:left w:w="120" w:type="dxa"/>
              <w:right w:w="120" w:type="dxa"/>
            </w:tcMar>
          </w:tcPr>
          <w:p>
            <w:pPr>
              <w:jc w:val="right"/>
            </w:pPr>
            <w:r>
              <w:rPr>
                <w:rFonts w:ascii="Arial" w:hAnsi="Arial"/>
                <w:b/>
                <w:color w:val="FFFFFF"/>
                <w:sz w:val="19"/>
              </w:rPr>
              <w:t>Std Dev</w:t>
            </w:r>
          </w:p>
        </w:tc>
        <w:tc>
          <w:tcPr>
            <w:tcW w:type="dxa" w:w="1152"/>
            <w:shd w:fill="1B365D"/>
            <w:tcMar>
              <w:top w:w="100" w:type="dxa"/>
              <w:bottom w:w="100" w:type="dxa"/>
              <w:left w:w="120" w:type="dxa"/>
              <w:right w:w="120" w:type="dxa"/>
            </w:tcMar>
          </w:tcPr>
          <w:p>
            <w:pPr>
              <w:jc w:val="right"/>
            </w:pPr>
            <w:r>
              <w:rPr>
                <w:rFonts w:ascii="Arial" w:hAnsi="Arial"/>
                <w:b/>
                <w:color w:val="FFFFFF"/>
                <w:sz w:val="19"/>
              </w:rPr>
              <w:t>Median</w:t>
            </w:r>
          </w:p>
        </w:tc>
        <w:tc>
          <w:tcPr>
            <w:tcW w:type="dxa" w:w="1152"/>
            <w:shd w:fill="1B365D"/>
            <w:tcMar>
              <w:top w:w="100" w:type="dxa"/>
              <w:bottom w:w="100" w:type="dxa"/>
              <w:left w:w="120" w:type="dxa"/>
              <w:right w:w="120" w:type="dxa"/>
            </w:tcMar>
          </w:tcPr>
          <w:p>
            <w:pPr>
              <w:jc w:val="right"/>
            </w:pPr>
            <w:r>
              <w:rPr>
                <w:rFonts w:ascii="Arial" w:hAnsi="Arial"/>
                <w:b/>
                <w:color w:val="FFFFFF"/>
                <w:sz w:val="19"/>
              </w:rPr>
              <w:t>IQR</w:t>
            </w:r>
          </w:p>
        </w:tc>
        <w:tc>
          <w:tcPr>
            <w:tcW w:type="dxa" w:w="1296"/>
            <w:shd w:fill="1B365D"/>
            <w:tcMar>
              <w:top w:w="100" w:type="dxa"/>
              <w:bottom w:w="100" w:type="dxa"/>
              <w:left w:w="120" w:type="dxa"/>
              <w:right w:w="120" w:type="dxa"/>
            </w:tcMar>
          </w:tcPr>
          <w:p>
            <w:pPr>
              <w:jc w:val="right"/>
            </w:pPr>
            <w:r>
              <w:rPr>
                <w:rFonts w:ascii="Arial" w:hAnsi="Arial"/>
                <w:b/>
                <w:color w:val="FFFFFF"/>
                <w:sz w:val="19"/>
              </w:rPr>
              <w:t>Range</w:t>
            </w:r>
          </w:p>
        </w:tc>
        <w:tc>
          <w:tcPr>
            <w:tcW w:type="dxa" w:w="1296"/>
            <w:shd w:fill="1B365D"/>
            <w:tcMar>
              <w:top w:w="100" w:type="dxa"/>
              <w:bottom w:w="100" w:type="dxa"/>
              <w:left w:w="120" w:type="dxa"/>
              <w:right w:w="120" w:type="dxa"/>
            </w:tcMar>
          </w:tcPr>
          <w:p>
            <w:pPr>
              <w:jc w:val="right"/>
            </w:pPr>
            <w:r>
              <w:rPr>
                <w:rFonts w:ascii="Arial" w:hAnsi="Arial"/>
                <w:b/>
                <w:color w:val="FFFFFF"/>
                <w:sz w:val="19"/>
              </w:rPr>
              <w:t>Skewness</w:t>
            </w:r>
          </w:p>
        </w:tc>
      </w:tr>
      <w:tr>
        <w:tc>
          <w:tcPr>
            <w:tcW w:type="dxa" w:w="2160"/>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2D3748"/>
                <w:sz w:val="18"/>
              </w:rPr>
              <w:t>Tenure (months)</w:t>
            </w:r>
          </w:p>
        </w:tc>
        <w:tc>
          <w:tcPr>
            <w:tcW w:type="dxa" w:w="1152"/>
            <w:shd w:fill="FFFFFF"/>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2D3748"/>
                <w:sz w:val="18"/>
              </w:rPr>
              <w:t>32.37</w:t>
            </w:r>
          </w:p>
        </w:tc>
        <w:tc>
          <w:tcPr>
            <w:tcW w:type="dxa" w:w="1152"/>
            <w:shd w:fill="FFFFFF"/>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2D3748"/>
                <w:sz w:val="18"/>
              </w:rPr>
              <w:t>24.56</w:t>
            </w:r>
          </w:p>
        </w:tc>
        <w:tc>
          <w:tcPr>
            <w:tcW w:type="dxa" w:w="1152"/>
            <w:shd w:fill="FFFFFF"/>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2D3748"/>
                <w:sz w:val="18"/>
              </w:rPr>
              <w:t>29.0</w:t>
            </w:r>
          </w:p>
        </w:tc>
        <w:tc>
          <w:tcPr>
            <w:tcW w:type="dxa" w:w="1152"/>
            <w:shd w:fill="FFFFFF"/>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2D3748"/>
                <w:sz w:val="18"/>
              </w:rPr>
              <w:t>46.0</w:t>
            </w:r>
          </w:p>
        </w:tc>
        <w:tc>
          <w:tcPr>
            <w:tcW w:type="dxa" w:w="1296"/>
            <w:shd w:fill="FFFFFF"/>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2D3748"/>
                <w:sz w:val="18"/>
              </w:rPr>
              <w:t>0.0 - 72.0</w:t>
            </w:r>
          </w:p>
        </w:tc>
        <w:tc>
          <w:tcPr>
            <w:tcW w:type="dxa" w:w="1296"/>
            <w:shd w:fill="FFFFFF"/>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2D3748"/>
                <w:sz w:val="18"/>
              </w:rPr>
              <w:t>0.24</w:t>
            </w:r>
          </w:p>
        </w:tc>
      </w:tr>
      <w:tr>
        <w:tc>
          <w:tcPr>
            <w:tcW w:type="dxa" w:w="2160"/>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2D3748"/>
                <w:sz w:val="18"/>
              </w:rPr>
              <w:t>Monthly Charges ($)</w:t>
            </w:r>
          </w:p>
        </w:tc>
        <w:tc>
          <w:tcPr>
            <w:tcW w:type="dxa" w:w="1152"/>
            <w:shd w:fill="F8FAFC"/>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2D3748"/>
                <w:sz w:val="18"/>
              </w:rPr>
              <w:t>$64.76</w:t>
            </w:r>
          </w:p>
        </w:tc>
        <w:tc>
          <w:tcPr>
            <w:tcW w:type="dxa" w:w="1152"/>
            <w:shd w:fill="F8FAFC"/>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2D3748"/>
                <w:sz w:val="18"/>
              </w:rPr>
              <w:t>$30.09</w:t>
            </w:r>
          </w:p>
        </w:tc>
        <w:tc>
          <w:tcPr>
            <w:tcW w:type="dxa" w:w="1152"/>
            <w:shd w:fill="F8FAFC"/>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2D3748"/>
                <w:sz w:val="18"/>
              </w:rPr>
              <w:t>$70.35</w:t>
            </w:r>
          </w:p>
        </w:tc>
        <w:tc>
          <w:tcPr>
            <w:tcW w:type="dxa" w:w="1152"/>
            <w:shd w:fill="F8FAFC"/>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2D3748"/>
                <w:sz w:val="18"/>
              </w:rPr>
              <w:t>$54.35</w:t>
            </w:r>
          </w:p>
        </w:tc>
        <w:tc>
          <w:tcPr>
            <w:tcW w:type="dxa" w:w="1296"/>
            <w:shd w:fill="F8FAFC"/>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2D3748"/>
                <w:sz w:val="18"/>
              </w:rPr>
              <w:t>$18.25 - $118.75</w:t>
            </w:r>
          </w:p>
        </w:tc>
        <w:tc>
          <w:tcPr>
            <w:tcW w:type="dxa" w:w="1296"/>
            <w:shd w:fill="F8FAFC"/>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2D3748"/>
                <w:sz w:val="18"/>
              </w:rPr>
              <w:t>-0.22</w:t>
            </w:r>
          </w:p>
        </w:tc>
      </w:tr>
      <w:tr>
        <w:tc>
          <w:tcPr>
            <w:tcW w:type="dxa" w:w="2160"/>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2D3748"/>
                <w:sz w:val="18"/>
              </w:rPr>
              <w:t>Total Charges ($)</w:t>
            </w:r>
          </w:p>
        </w:tc>
        <w:tc>
          <w:tcPr>
            <w:tcW w:type="dxa" w:w="1152"/>
            <w:shd w:fill="FFFFFF"/>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2D3748"/>
                <w:sz w:val="18"/>
              </w:rPr>
              <w:t>$2279.73</w:t>
            </w:r>
          </w:p>
        </w:tc>
        <w:tc>
          <w:tcPr>
            <w:tcW w:type="dxa" w:w="1152"/>
            <w:shd w:fill="FFFFFF"/>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2D3748"/>
                <w:sz w:val="18"/>
              </w:rPr>
              <w:t>$2266.79</w:t>
            </w:r>
          </w:p>
        </w:tc>
        <w:tc>
          <w:tcPr>
            <w:tcW w:type="dxa" w:w="1152"/>
            <w:shd w:fill="FFFFFF"/>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2D3748"/>
                <w:sz w:val="18"/>
              </w:rPr>
              <w:t>$1394.55</w:t>
            </w:r>
          </w:p>
        </w:tc>
        <w:tc>
          <w:tcPr>
            <w:tcW w:type="dxa" w:w="1152"/>
            <w:shd w:fill="FFFFFF"/>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2D3748"/>
                <w:sz w:val="18"/>
              </w:rPr>
              <w:t>$3388.05</w:t>
            </w:r>
          </w:p>
        </w:tc>
        <w:tc>
          <w:tcPr>
            <w:tcW w:type="dxa" w:w="1296"/>
            <w:shd w:fill="FFFFFF"/>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2D3748"/>
                <w:sz w:val="18"/>
              </w:rPr>
              <w:t>$0.0 - $8684.8</w:t>
            </w:r>
          </w:p>
        </w:tc>
        <w:tc>
          <w:tcPr>
            <w:tcW w:type="dxa" w:w="1296"/>
            <w:shd w:fill="FFFFFF"/>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2D3748"/>
                <w:sz w:val="18"/>
              </w:rPr>
              <w:t>0.96</w:t>
            </w:r>
          </w:p>
        </w:tc>
      </w:tr>
    </w:tbl>
    <w:p>
      <w:pPr>
        <w:spacing w:before="200" w:after="80"/>
      </w:pPr>
      <w:r>
        <w:rPr>
          <w:b/>
          <w:color w:val="2C5282"/>
        </w:rPr>
        <w:t>Formal Inferential Hypothesis Testing:</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592"/>
            <w:shd w:fill="1B365D"/>
            <w:tcMar>
              <w:top w:w="100" w:type="dxa"/>
              <w:bottom w:w="100" w:type="dxa"/>
              <w:left w:w="120" w:type="dxa"/>
              <w:right w:w="120" w:type="dxa"/>
            </w:tcMar>
          </w:tcPr>
          <w:p>
            <w:pPr>
              <w:jc w:val="left"/>
            </w:pPr>
            <w:r>
              <w:rPr>
                <w:rFonts w:ascii="Arial" w:hAnsi="Arial"/>
                <w:b/>
                <w:color w:val="FFFFFF"/>
                <w:sz w:val="19"/>
              </w:rPr>
              <w:t>Test Conducted</w:t>
            </w:r>
          </w:p>
        </w:tc>
        <w:tc>
          <w:tcPr>
            <w:tcW w:type="dxa" w:w="2160"/>
            <w:shd w:fill="1B365D"/>
            <w:tcMar>
              <w:top w:w="100" w:type="dxa"/>
              <w:bottom w:w="100" w:type="dxa"/>
              <w:left w:w="120" w:type="dxa"/>
              <w:right w:w="120" w:type="dxa"/>
            </w:tcMar>
          </w:tcPr>
          <w:p>
            <w:pPr>
              <w:jc w:val="left"/>
            </w:pPr>
            <w:r>
              <w:rPr>
                <w:rFonts w:ascii="Arial" w:hAnsi="Arial"/>
                <w:b/>
                <w:color w:val="FFFFFF"/>
                <w:sz w:val="19"/>
              </w:rPr>
              <w:t>Target Features Tested</w:t>
            </w:r>
          </w:p>
        </w:tc>
        <w:tc>
          <w:tcPr>
            <w:tcW w:type="dxa" w:w="1584"/>
            <w:shd w:fill="1B365D"/>
            <w:tcMar>
              <w:top w:w="100" w:type="dxa"/>
              <w:bottom w:w="100" w:type="dxa"/>
              <w:left w:w="120" w:type="dxa"/>
              <w:right w:w="120" w:type="dxa"/>
            </w:tcMar>
          </w:tcPr>
          <w:p>
            <w:pPr>
              <w:jc w:val="left"/>
            </w:pPr>
            <w:r>
              <w:rPr>
                <w:rFonts w:ascii="Arial" w:hAnsi="Arial"/>
                <w:b/>
                <w:color w:val="FFFFFF"/>
                <w:sz w:val="19"/>
              </w:rPr>
              <w:t>Test Statistic</w:t>
            </w:r>
          </w:p>
        </w:tc>
        <w:tc>
          <w:tcPr>
            <w:tcW w:type="dxa" w:w="1440"/>
            <w:shd w:fill="1B365D"/>
            <w:tcMar>
              <w:top w:w="100" w:type="dxa"/>
              <w:bottom w:w="100" w:type="dxa"/>
              <w:left w:w="120" w:type="dxa"/>
              <w:right w:w="120" w:type="dxa"/>
            </w:tcMar>
          </w:tcPr>
          <w:p>
            <w:pPr>
              <w:jc w:val="left"/>
            </w:pPr>
            <w:r>
              <w:rPr>
                <w:rFonts w:ascii="Arial" w:hAnsi="Arial"/>
                <w:b/>
                <w:color w:val="FFFFFF"/>
                <w:sz w:val="19"/>
              </w:rPr>
              <w:t>p-Value</w:t>
            </w:r>
          </w:p>
        </w:tc>
        <w:tc>
          <w:tcPr>
            <w:tcW w:type="dxa" w:w="1584"/>
            <w:shd w:fill="1B365D"/>
            <w:tcMar>
              <w:top w:w="100" w:type="dxa"/>
              <w:bottom w:w="100" w:type="dxa"/>
              <w:left w:w="120" w:type="dxa"/>
              <w:right w:w="120" w:type="dxa"/>
            </w:tcMar>
          </w:tcPr>
          <w:p>
            <w:pPr>
              <w:jc w:val="left"/>
            </w:pPr>
            <w:r>
              <w:rPr>
                <w:rFonts w:ascii="Arial" w:hAnsi="Arial"/>
                <w:b/>
                <w:color w:val="FFFFFF"/>
                <w:sz w:val="19"/>
              </w:rPr>
              <w:t>Statistical Result</w:t>
            </w:r>
          </w:p>
        </w:tc>
      </w:tr>
      <w:tr>
        <w:tc>
          <w:tcPr>
            <w:tcW w:type="dxa" w:w="2592"/>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2D3748"/>
                <w:sz w:val="18"/>
              </w:rPr>
              <w:t>Pearson's Chi-Square (χ²)</w:t>
            </w:r>
          </w:p>
        </w:tc>
        <w:tc>
          <w:tcPr>
            <w:tcW w:type="dxa" w:w="2160"/>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2D3748"/>
                <w:sz w:val="18"/>
              </w:rPr>
              <w:t>Contract Type vs Churn</w:t>
            </w:r>
          </w:p>
        </w:tc>
        <w:tc>
          <w:tcPr>
            <w:tcW w:type="dxa" w:w="1584"/>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2D3748"/>
                <w:sz w:val="18"/>
              </w:rPr>
              <w:t>χ² = 1184.6</w:t>
            </w:r>
          </w:p>
        </w:tc>
        <w:tc>
          <w:tcPr>
            <w:tcW w:type="dxa" w:w="1440"/>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2D3748"/>
                <w:sz w:val="18"/>
              </w:rPr>
              <w:t>5.86e-258</w:t>
            </w:r>
          </w:p>
        </w:tc>
        <w:tc>
          <w:tcPr>
            <w:tcW w:type="dxa" w:w="1584"/>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2D3748"/>
                <w:sz w:val="18"/>
              </w:rPr>
              <w:t>p &lt; 0.001 (Reject H₀)</w:t>
            </w:r>
          </w:p>
        </w:tc>
      </w:tr>
      <w:tr>
        <w:tc>
          <w:tcPr>
            <w:tcW w:type="dxa" w:w="2592"/>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2D3748"/>
                <w:sz w:val="18"/>
              </w:rPr>
              <w:t>Mann-Whitney U Test</w:t>
            </w:r>
          </w:p>
        </w:tc>
        <w:tc>
          <w:tcPr>
            <w:tcW w:type="dxa" w:w="2160"/>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2D3748"/>
                <w:sz w:val="18"/>
              </w:rPr>
              <w:t>Tenure (Retained vs Churned)</w:t>
            </w:r>
          </w:p>
        </w:tc>
        <w:tc>
          <w:tcPr>
            <w:tcW w:type="dxa" w:w="1584"/>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2D3748"/>
                <w:sz w:val="18"/>
              </w:rPr>
              <w:t>U = 7154668.0</w:t>
            </w:r>
          </w:p>
        </w:tc>
        <w:tc>
          <w:tcPr>
            <w:tcW w:type="dxa" w:w="1440"/>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2D3748"/>
                <w:sz w:val="18"/>
              </w:rPr>
              <w:t>2.42e-208</w:t>
            </w:r>
          </w:p>
        </w:tc>
        <w:tc>
          <w:tcPr>
            <w:tcW w:type="dxa" w:w="1584"/>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2D3748"/>
                <w:sz w:val="18"/>
              </w:rPr>
              <w:t>p &lt; 0.001 (Reject H₀)</w:t>
            </w:r>
          </w:p>
        </w:tc>
      </w:tr>
      <w:tr>
        <w:tc>
          <w:tcPr>
            <w:tcW w:type="dxa" w:w="2592"/>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2D3748"/>
                <w:sz w:val="18"/>
              </w:rPr>
              <w:t>Welch's Two-Sample t-Test</w:t>
            </w:r>
          </w:p>
        </w:tc>
        <w:tc>
          <w:tcPr>
            <w:tcW w:type="dxa" w:w="2160"/>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2D3748"/>
                <w:sz w:val="18"/>
              </w:rPr>
              <w:t>Monthly Charges vs Churn</w:t>
            </w:r>
          </w:p>
        </w:tc>
        <w:tc>
          <w:tcPr>
            <w:tcW w:type="dxa" w:w="1584"/>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2D3748"/>
                <w:sz w:val="18"/>
              </w:rPr>
              <w:t>t = -18.41</w:t>
            </w:r>
          </w:p>
        </w:tc>
        <w:tc>
          <w:tcPr>
            <w:tcW w:type="dxa" w:w="1440"/>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2D3748"/>
                <w:sz w:val="18"/>
              </w:rPr>
              <w:t>8.59e-73</w:t>
            </w:r>
          </w:p>
        </w:tc>
        <w:tc>
          <w:tcPr>
            <w:tcW w:type="dxa" w:w="1584"/>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2D3748"/>
                <w:sz w:val="18"/>
              </w:rPr>
              <w:t>p &lt; 0.001 (Reject H₀)</w:t>
            </w:r>
          </w:p>
        </w:tc>
      </w:tr>
    </w:tbl>
    <w:p>
      <w:pPr>
        <w:spacing w:before="320" w:after="120"/>
      </w:pPr>
      <w:r>
        <w:rPr>
          <w:b/>
          <w:color w:val="1B365D"/>
          <w:sz w:val="30"/>
        </w:rPr>
        <w:t>6.0 COMPREHENSIVE VISUALIZATION SUITE &amp; ANALYTICAL INSIGHTS</w:t>
      </w:r>
    </w:p>
    <w:p>
      <w:pPr>
        <w:spacing w:before="0" w:after="160" w:line="276" w:lineRule="auto"/>
      </w:pPr>
      <w:r>
        <w:t>A total of 5 publication-ready visualizations (exceeding the requirement of 3) were generated at 300 DPI. Each visual artifact illuminates a distinct operational hypothesis and is paired with analytical interpretation.</w:t>
      </w:r>
    </w:p>
    <w:p>
      <w:pPr>
        <w:spacing w:before="160" w:after="80"/>
        <w:jc w:val="center"/>
      </w:pPr>
      <w:r>
        <w:drawing>
          <wp:inline xmlns:a="http://schemas.openxmlformats.org/drawingml/2006/main" xmlns:pic="http://schemas.openxmlformats.org/drawingml/2006/picture">
            <wp:extent cx="5669280" cy="2357785"/>
            <wp:docPr id="1" name="Picture 1"/>
            <wp:cNvGraphicFramePr>
              <a:graphicFrameLocks noChangeAspect="1"/>
            </wp:cNvGraphicFramePr>
            <a:graphic>
              <a:graphicData uri="http://schemas.openxmlformats.org/drawingml/2006/picture">
                <pic:pic>
                  <pic:nvPicPr>
                    <pic:cNvPr id="0" name="fig1_data_integrity_audit.png"/>
                    <pic:cNvPicPr/>
                  </pic:nvPicPr>
                  <pic:blipFill>
                    <a:blip r:embed="rId9"/>
                    <a:stretch>
                      <a:fillRect/>
                    </a:stretch>
                  </pic:blipFill>
                  <pic:spPr>
                    <a:xfrm>
                      <a:off x="0" y="0"/>
                      <a:ext cx="5669280" cy="2357785"/>
                    </a:xfrm>
                    <a:prstGeom prst="rect"/>
                  </pic:spPr>
                </pic:pic>
              </a:graphicData>
            </a:graphic>
          </wp:inline>
        </w:drawing>
      </w:r>
    </w:p>
    <w:p>
      <w:pPr>
        <w:spacing w:before="0" w:after="160"/>
        <w:jc w:val="center"/>
      </w:pPr>
      <w:r>
        <w:rPr>
          <w:i/>
          <w:color w:val="718096"/>
          <w:sz w:val="18"/>
        </w:rPr>
        <w:t>Figure 1: Pre-Cleaning Whitespace Detection Audit and Post-Cleaning Data Completeness Matrix.</w:t>
      </w:r>
    </w:p>
    <w:p>
      <w:pPr>
        <w:spacing w:line="276" w:lineRule="auto" w:after="200"/>
      </w:pPr>
      <w:r>
        <w:t>Analytical Breakdown (Figure 1): Panel A illustrates the discovery of 11 masked whitespace records located solely within TotalCharges. Because whitespace is non-null text, default automated ingestion frameworks fail to report any deficit. Panel B illustrates the post-cleaning state, where zero-tenure customer accounts were imputed to $0.00, achieving 100.0% data completeness without deleting newly onboarded customers.</w:t>
      </w:r>
    </w:p>
    <w:p>
      <w:pPr>
        <w:spacing w:before="200" w:after="80"/>
        <w:jc w:val="center"/>
      </w:pPr>
      <w:r>
        <w:drawing>
          <wp:inline xmlns:a="http://schemas.openxmlformats.org/drawingml/2006/main" xmlns:pic="http://schemas.openxmlformats.org/drawingml/2006/picture">
            <wp:extent cx="5669280" cy="2187425"/>
            <wp:docPr id="2" name="Picture 2"/>
            <wp:cNvGraphicFramePr>
              <a:graphicFrameLocks noChangeAspect="1"/>
            </wp:cNvGraphicFramePr>
            <a:graphic>
              <a:graphicData uri="http://schemas.openxmlformats.org/drawingml/2006/picture">
                <pic:pic>
                  <pic:nvPicPr>
                    <pic:cNvPr id="0" name="fig2_churn_by_contract_and_payment.png"/>
                    <pic:cNvPicPr/>
                  </pic:nvPicPr>
                  <pic:blipFill>
                    <a:blip r:embed="rId10"/>
                    <a:stretch>
                      <a:fillRect/>
                    </a:stretch>
                  </pic:blipFill>
                  <pic:spPr>
                    <a:xfrm>
                      <a:off x="0" y="0"/>
                      <a:ext cx="5669280" cy="2187425"/>
                    </a:xfrm>
                    <a:prstGeom prst="rect"/>
                  </pic:spPr>
                </pic:pic>
              </a:graphicData>
            </a:graphic>
          </wp:inline>
        </w:drawing>
      </w:r>
    </w:p>
    <w:p>
      <w:pPr>
        <w:spacing w:before="0" w:after="160"/>
        <w:jc w:val="center"/>
      </w:pPr>
      <w:r>
        <w:rPr>
          <w:i/>
          <w:color w:val="718096"/>
          <w:sz w:val="18"/>
        </w:rPr>
        <w:t>Figure 2: Customer Churn Proportions Across Contract Type and Billing Payment Method.</w:t>
      </w:r>
    </w:p>
    <w:p>
      <w:pPr>
        <w:spacing w:line="276" w:lineRule="auto" w:after="200"/>
      </w:pPr>
      <w:r>
        <w:t>Analytical Breakdown (Figure 2): Panel A reveals an enormous disparity across contract terms. Customers on Month-to-Month contracts experience a staggering churn rate of 42.7%, compared to 11.3% for One-Year contracts and only 2.8% for Two-Year contracts. The risk multiplier between month-to-month and two-year commitments exceeds 15x. Panel B reveals a strong operational artifact: customers utilizing Electronic Checks churn at 45.3%, whereas customers on automated payment methods (Bank Transfer at 16.7% and Credit Card at 15.2%) exhibit superior retention. Manual payment friction directly correlates with subscriber defection.</w:t>
      </w:r>
    </w:p>
    <w:p>
      <w:pPr>
        <w:spacing w:before="200" w:after="80"/>
        <w:jc w:val="center"/>
      </w:pPr>
      <w:r>
        <w:drawing>
          <wp:inline xmlns:a="http://schemas.openxmlformats.org/drawingml/2006/main" xmlns:pic="http://schemas.openxmlformats.org/drawingml/2006/picture">
            <wp:extent cx="5669280" cy="4030760"/>
            <wp:docPr id="3" name="Picture 3"/>
            <wp:cNvGraphicFramePr>
              <a:graphicFrameLocks noChangeAspect="1"/>
            </wp:cNvGraphicFramePr>
            <a:graphic>
              <a:graphicData uri="http://schemas.openxmlformats.org/drawingml/2006/picture">
                <pic:pic>
                  <pic:nvPicPr>
                    <pic:cNvPr id="0" name="fig3_distributions_tenure_charges.png"/>
                    <pic:cNvPicPr/>
                  </pic:nvPicPr>
                  <pic:blipFill>
                    <a:blip r:embed="rId11"/>
                    <a:stretch>
                      <a:fillRect/>
                    </a:stretch>
                  </pic:blipFill>
                  <pic:spPr>
                    <a:xfrm>
                      <a:off x="0" y="0"/>
                      <a:ext cx="5669280" cy="4030760"/>
                    </a:xfrm>
                    <a:prstGeom prst="rect"/>
                  </pic:spPr>
                </pic:pic>
              </a:graphicData>
            </a:graphic>
          </wp:inline>
        </w:drawing>
      </w:r>
    </w:p>
    <w:p>
      <w:pPr>
        <w:spacing w:before="0" w:after="160"/>
        <w:jc w:val="center"/>
      </w:pPr>
      <w:r>
        <w:rPr>
          <w:i/>
          <w:color w:val="718096"/>
          <w:sz w:val="18"/>
        </w:rPr>
        <w:t>Figure 3: Density Distributions (KDE) and Boxplot Quartiles for Tenure and Monthly Charges.</w:t>
      </w:r>
    </w:p>
    <w:p>
      <w:pPr>
        <w:spacing w:line="276" w:lineRule="auto" w:after="200"/>
      </w:pPr>
      <w:r>
        <w:t>Analytical Breakdown (Figure 3): The kernel density estimates (Panel A) demonstrate extreme tenure bifurcation. Churned customers show an acute density spike during months 1 through 6, with a median tenure of only 10 months (compared to 38 months for retained accounts). If an account survives past month 20, attrition probability drops dramatically. Panels C and D illustrate the financial dimension: churned accounts carry a significantly higher median monthly recurring fee ($79.65 vs $64.43; Welch's t = 18.40, p &lt; 0.001). The density distribution reveals a dangerous 'churn hotspot' between $70 and $100 per month, pointing to customer dissatisfaction with premium bundles.</w:t>
      </w:r>
    </w:p>
    <w:p>
      <w:pPr>
        <w:spacing w:before="200" w:after="80"/>
        <w:jc w:val="center"/>
      </w:pPr>
      <w:r>
        <w:drawing>
          <wp:inline xmlns:a="http://schemas.openxmlformats.org/drawingml/2006/main" xmlns:pic="http://schemas.openxmlformats.org/drawingml/2006/picture">
            <wp:extent cx="5029200" cy="4593662"/>
            <wp:docPr id="4" name="Picture 4"/>
            <wp:cNvGraphicFramePr>
              <a:graphicFrameLocks noChangeAspect="1"/>
            </wp:cNvGraphicFramePr>
            <a:graphic>
              <a:graphicData uri="http://schemas.openxmlformats.org/drawingml/2006/picture">
                <pic:pic>
                  <pic:nvPicPr>
                    <pic:cNvPr id="0" name="fig4_correlation_heatmap.png"/>
                    <pic:cNvPicPr/>
                  </pic:nvPicPr>
                  <pic:blipFill>
                    <a:blip r:embed="rId12"/>
                    <a:stretch>
                      <a:fillRect/>
                    </a:stretch>
                  </pic:blipFill>
                  <pic:spPr>
                    <a:xfrm>
                      <a:off x="0" y="0"/>
                      <a:ext cx="5029200" cy="4593662"/>
                    </a:xfrm>
                    <a:prstGeom prst="rect"/>
                  </pic:spPr>
                </pic:pic>
              </a:graphicData>
            </a:graphic>
          </wp:inline>
        </w:drawing>
      </w:r>
    </w:p>
    <w:p>
      <w:pPr>
        <w:spacing w:before="0" w:after="160"/>
        <w:jc w:val="center"/>
      </w:pPr>
      <w:r>
        <w:rPr>
          <w:i/>
          <w:color w:val="718096"/>
          <w:sz w:val="18"/>
        </w:rPr>
        <w:t>Figure 4: Pearson Correlation Matrix and Feature Association Heatmap.</w:t>
      </w:r>
    </w:p>
    <w:p>
      <w:pPr>
        <w:spacing w:line="276" w:lineRule="auto" w:after="200"/>
      </w:pPr>
      <w:r>
        <w:t>Analytical Breakdown (Figure 4): The correlation matrix illuminates feature interactions. TotalCharges exhibits near-collinearity with tenure (r = +0.83), as cumulative spending scales linearly with customer longevity. Tenure is strongly negatively correlated with Churn (r = -0.35), reinforcing that customer stickiness grows over time. Conversely, MonthlyCharges correlates positively with Churn (r = +0.19) and Paperless Billing (r = +0.35), indicating that digitally billed customers facing higher fees are more reactive to price points. For future predictive modeling, the high correlation between tenure and TotalCharges suggests multicollinearity that must be addressed via regularization or VIF.</w:t>
      </w:r>
    </w:p>
    <w:p>
      <w:pPr>
        <w:spacing w:before="200" w:after="80"/>
        <w:jc w:val="center"/>
      </w:pPr>
      <w:r>
        <w:drawing>
          <wp:inline xmlns:a="http://schemas.openxmlformats.org/drawingml/2006/main" xmlns:pic="http://schemas.openxmlformats.org/drawingml/2006/picture">
            <wp:extent cx="5669280" cy="2207093"/>
            <wp:docPr id="5" name="Picture 5"/>
            <wp:cNvGraphicFramePr>
              <a:graphicFrameLocks noChangeAspect="1"/>
            </wp:cNvGraphicFramePr>
            <a:graphic>
              <a:graphicData uri="http://schemas.openxmlformats.org/drawingml/2006/picture">
                <pic:pic>
                  <pic:nvPicPr>
                    <pic:cNvPr id="0" name="fig5_service_support_churn.png"/>
                    <pic:cNvPicPr/>
                  </pic:nvPicPr>
                  <pic:blipFill>
                    <a:blip r:embed="rId13"/>
                    <a:stretch>
                      <a:fillRect/>
                    </a:stretch>
                  </pic:blipFill>
                  <pic:spPr>
                    <a:xfrm>
                      <a:off x="0" y="0"/>
                      <a:ext cx="5669280" cy="2207093"/>
                    </a:xfrm>
                    <a:prstGeom prst="rect"/>
                  </pic:spPr>
                </pic:pic>
              </a:graphicData>
            </a:graphic>
          </wp:inline>
        </w:drawing>
      </w:r>
    </w:p>
    <w:p>
      <w:pPr>
        <w:spacing w:before="0" w:after="160"/>
        <w:jc w:val="center"/>
      </w:pPr>
      <w:r>
        <w:rPr>
          <w:i/>
          <w:color w:val="718096"/>
          <w:sz w:val="18"/>
        </w:rPr>
        <w:t>Figure 5: Internet Service Delivery and Value-Added Support Services Retention Dynamics.</w:t>
      </w:r>
    </w:p>
    <w:p>
      <w:pPr>
        <w:spacing w:line="276" w:lineRule="auto" w:after="200"/>
      </w:pPr>
      <w:r>
        <w:t>Analytical Breakdown (Figure 5): Panel A exposes an alarming business anomaly: Fiber Optic internet subscribers exhibit a 41.9% churn rate, compared to 19.0% for DSL subscribers and 7.4% for accounts with No Internet. Although fiber optic is the enterprise's flagship, high-margin service, it generates double the attrition of legacy copper lines. Panel B explains this paradox: among Fiber Optic customers lacking Tech Support, churn surges to 49.4%. However, when Tech Support is bundled, churn plummets to 22.8%—a dramatic 53.8% relative reduction. Similarly, Online Security reduces fiber churn from 49.3% to 21.8%. Value-added technical support acts as an indispensable retention anchor.</w:t>
      </w:r>
    </w:p>
    <w:p>
      <w:pPr>
        <w:spacing w:before="320" w:after="120"/>
      </w:pPr>
      <w:r>
        <w:rPr>
          <w:b/>
          <w:color w:val="1B365D"/>
          <w:sz w:val="30"/>
        </w:rPr>
        <w:t>7.0 SYNTHESIS OF INSIGHTS &amp; STRATEGIC RECOMMENDATIONS</w:t>
      </w:r>
    </w:p>
    <w:p>
      <w:pPr>
        <w:spacing w:before="0" w:after="120" w:line="276" w:lineRule="auto"/>
      </w:pPr>
      <w:r>
        <w:t>Synthesizing the statistical models and visualizations yields four strategic pillars for customer retention intervention:</w:t>
      </w:r>
    </w:p>
    <w:p>
      <w:pPr>
        <w:pStyle w:val="ListBullet"/>
        <w:spacing w:before="40" w:after="60"/>
      </w:pPr>
      <w:r>
        <w:rPr>
          <w:b/>
          <w:color w:val="2C5282"/>
        </w:rPr>
        <w:t xml:space="preserve">1. Early Lifecycle Onboarding Intervention (Months 1–6): </w:t>
      </w:r>
      <w:r>
        <w:t>Because median churn occurs at month 10 and peaks in months 1–3, the company must launch proactive customer success check-ins at days 30, 60, and 90 to preempt buyer remorse and early technical friction.</w:t>
      </w:r>
    </w:p>
    <w:p>
      <w:pPr>
        <w:pStyle w:val="ListBullet"/>
        <w:spacing w:before="40" w:after="60"/>
      </w:pPr>
      <w:r>
        <w:rPr>
          <w:b/>
          <w:color w:val="2C5282"/>
        </w:rPr>
        <w:t xml:space="preserve">2. Contract Migration &amp; Annual Incentivization: </w:t>
      </w:r>
      <w:r>
        <w:t>With month-to-month subscribers churning at 42.7% versus 2.8% on two-year plans, marketing should offer discounted annual lock-ins, device subsidies, or loyalty credits for customers transitioning off monthly plans.</w:t>
      </w:r>
    </w:p>
    <w:p>
      <w:pPr>
        <w:pStyle w:val="ListBullet"/>
        <w:spacing w:before="40" w:after="60"/>
      </w:pPr>
      <w:r>
        <w:rPr>
          <w:b/>
          <w:color w:val="2C5282"/>
        </w:rPr>
        <w:t xml:space="preserve">3. Mandatory Fiber Optic Service Bundling: </w:t>
      </w:r>
      <w:r>
        <w:t>The acute 49.4% churn rate among unassisted fiber customers indicates service complexity or setup friction. Bundling 6 months of complimentary Tech Support and Online Security with every fiber install will cut attrition by over half.</w:t>
      </w:r>
    </w:p>
    <w:p>
      <w:pPr>
        <w:pStyle w:val="ListBullet"/>
        <w:spacing w:before="40" w:after="60"/>
      </w:pPr>
      <w:r>
        <w:rPr>
          <w:b/>
          <w:color w:val="2C5282"/>
        </w:rPr>
        <w:t xml:space="preserve">4. Payment Modernization &amp; Autopay Migration: </w:t>
      </w:r>
      <w:r>
        <w:t>Electronic check users exhibit 45.3% churn compared to ~15% for automated card/bank draft. Offering a $5 monthly bill discount for enrolling in ACH or credit card autopay will eliminate payment-friction churn.</w:t>
      </w:r>
    </w:p>
    <w:p>
      <w:pPr>
        <w:spacing w:before="320" w:after="120"/>
      </w:pPr>
      <w:r>
        <w:rPr>
          <w:b/>
          <w:color w:val="1B365D"/>
          <w:sz w:val="30"/>
        </w:rPr>
        <w:t>8.0 LIMITATIONS, ETHICAL CONSIDERATIONS &amp; ROADMAP FOR WEEKS 2+</w:t>
      </w:r>
    </w:p>
    <w:p>
      <w:pPr>
        <w:spacing w:before="0" w:after="120" w:line="276" w:lineRule="auto"/>
      </w:pPr>
      <w:r>
        <w:t>Limitations &amp; Ethical Considerations: The dataset is observational and cross-sectional; while strong associations are proven, causality cannot be claimed without A/B testing. Furthermore, Senior Citizen status must not be utilized for discriminatory pricing or adverse action under Fair Credit and Telecommunications consumer protection frameworks.</w:t>
        <w:br/>
        <w:br/>
        <w:t>Roadmap for Subsequent Project Weeks:</w:t>
        <w:br/>
        <w:t>• Week 2 (Feature Engineering &amp; Selection): Construct interaction terms (e.g., Charge_Per_Month_Ratio = TotalCharges / (tenure + 1)), one-hot encode multi-class variables, evaluate Variance Inflation Factors (VIF), and apply Yeo-Johnson power transformations to normalize right-skewed revenue.</w:t>
        <w:br/>
        <w:t>• Week 3 (Model Building &amp; Validation): Train regularized Logistic Regression, Random Forests, and XGBoost classifiers using stratified k-fold cross-validation. Optimize for PR-AUC and Recall due to class imbalance (26.5% churn vs 73.5% retained).</w:t>
        <w:br/>
        <w:t>• Week 4 (Model Interpretability &amp; Deployment): Apply SHAP (SHapley Additive exPlanations) to provide individual-level churn explanations and deploy an automated inference scoring pipeline.</w:t>
      </w:r>
    </w:p>
    <w:p>
      <w:pPr>
        <w:spacing w:before="320" w:after="120"/>
      </w:pPr>
      <w:r>
        <w:rPr>
          <w:b/>
          <w:color w:val="1B365D"/>
          <w:sz w:val="30"/>
        </w:rPr>
        <w:t>APPENDIX: REPRODUCIBLE PYTHON PIPELINE SOURCE CODE</w:t>
      </w:r>
    </w:p>
    <w:p>
      <w:pPr>
        <w:spacing w:before="0" w:after="120" w:line="276" w:lineRule="auto"/>
      </w:pPr>
      <w:r>
        <w:t>Below is the complete execution script used to acquire the dataset, audit schema integrity, impute zero-tenure records, compute statistical tests, and generate the 300 DPI visualizations:</w:t>
      </w:r>
    </w:p>
    <w:tbl>
      <w:tblPr>
        <w:tblW w:type="auto" w:w="0"/>
        <w:jc w:val="center"/>
        <w:tblLayout w:type="fixed"/>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Borders>
              <w:top w:val="single" w:sz="8" w:space="0" w:color="CBD5E0"/>
              <w:left w:val="single" w:sz="8" w:space="0" w:color="CBD5E0"/>
              <w:bottom w:val="single" w:sz="8" w:space="0" w:color="CBD5E0"/>
              <w:right w:val="single" w:sz="8" w:space="0" w:color="CBD5E0"/>
            </w:tcBorders>
          </w:tcPr>
          <w:p>
            <w:pPr>
              <w:spacing w:before="0" w:after="0" w:line="252" w:lineRule="auto"/>
            </w:pPr>
            <w:r>
              <w:rPr>
                <w:rFonts w:ascii="Consolas" w:hAnsi="Consolas"/>
                <w:color w:val="718096"/>
                <w:sz w:val="17"/>
              </w:rPr>
              <w:t># [Python Snippet]</w:t>
              <w:br/>
            </w:r>
            <w:r>
              <w:rPr>
                <w:rFonts w:ascii="Consolas" w:hAnsi="Consolas"/>
                <w:color w:val="24292F"/>
                <w:sz w:val="17"/>
              </w:rPr>
              <w:t>"""</w:t>
              <w:br/>
              <w:t>Week 1: Data Acquisition, Cleaning, and Exploratory Data Analysis Pipeline</w:t>
              <w:br/>
              <w:t>Dataset: IBM Telco Customer Churn &amp; Retention</w:t>
              <w:br/>
              <w:t>Author: Data Science Team</w:t>
              <w:br/>
              <w:t>"""</w:t>
              <w:br/>
              <w:br/>
              <w:t>import os</w:t>
              <w:br/>
              <w:t>import sys</w:t>
              <w:br/>
              <w:t>import json</w:t>
              <w:br/>
              <w:t>import urllib.request</w:t>
              <w:br/>
              <w:t>import numpy as np</w:t>
              <w:br/>
              <w:t>import pandas as pd</w:t>
              <w:br/>
              <w:t>import matplotlib.pyplot as plt</w:t>
              <w:br/>
              <w:t>import seaborn as sns</w:t>
              <w:br/>
              <w:t>from scipy import stats</w:t>
              <w:br/>
              <w:br/>
              <w:t># Configure Paths</w:t>
              <w:br/>
              <w:t>BASE_DIR = r"C:\Users\A.BISWAL\.gemini\antigravity\scratch\week1_data_cleaning_eda"</w:t>
              <w:br/>
              <w:t>DATA_DIR = os.path.join(BASE_DIR, "data")</w:t>
              <w:br/>
              <w:t>FIGURES_DIR = os.path.join(BASE_DIR, "figures")</w:t>
              <w:br/>
              <w:t>RAW_DATA_PATH = os.path.join(DATA_DIR, "raw_telco_churn.csv")</w:t>
              <w:br/>
              <w:t>CLEANED_DATA_PATH = os.path.join(DATA_DIR, "cleaned_telco_churn.csv")</w:t>
              <w:br/>
              <w:t>METRICS_PATH = os.path.join(DATA_DIR, "pipeline_metrics.json")</w:t>
              <w:br/>
              <w:br/>
              <w:t>os.makedirs(DATA_DIR, exist_ok=True)</w:t>
              <w:br/>
              <w:t>os.makedirs(FIGURES_DIR, exist_ok=True)</w:t>
              <w:br/>
              <w:br/>
              <w:t># Styling aesthetics</w:t>
              <w:br/>
              <w:t>plt.style.use('seaborn-v0_8-whitegrid' if 'seaborn-v0_8-whitegrid' in plt.style.available else 'default')</w:t>
              <w:br/>
              <w:t>sns.set_theme(style="whitegrid", palette="muted")</w:t>
              <w:br/>
              <w:t>plt.rcParams['font.sans-serif'] = 'Arial'</w:t>
              <w:br/>
              <w:t>plt.rcParams['axes.edgecolor'] = '#cccccc'</w:t>
              <w:br/>
              <w:t>plt.rcParams['axes.linewidth'] = 0.8</w:t>
              <w:br/>
              <w:br/>
              <w:br/>
              <w:t>def acquire_data():</w:t>
              <w:br/>
              <w:t xml:space="preserve">    """Acquires the dataset from the verified public repository."""</w:t>
              <w:br/>
              <w:t xml:space="preserve">    url = "https://raw.githubusercontent.com/IBM/telco-customer-churn-on-icp4d/master/data/Telco-Customer-Churn.csv"</w:t>
              <w:br/>
              <w:t xml:space="preserve">    print(f"[*] Acquiring dataset from: {url}")</w:t>
              <w:br/>
              <w:t xml:space="preserve">    </w:t>
              <w:br/>
              <w:t xml:space="preserve">    if not os.path.exists(RAW_DATA_PATH):</w:t>
              <w:br/>
              <w:t xml:space="preserve">        urllib.request.urlretrieve(url, RAW_DATA_PATH)</w:t>
              <w:br/>
              <w:t xml:space="preserve">        print(f"[+] Download complete: saved to {RAW_DATA_PATH}")</w:t>
              <w:br/>
              <w:t xml:space="preserve">    else:</w:t>
              <w:br/>
              <w:t xml:space="preserve">        print(f"[+] Local raw cache found at {RAW_DATA_PATH}")</w:t>
              <w:br/>
              <w:t xml:space="preserve">    </w:t>
              <w:br/>
              <w:t xml:space="preserve">    df_raw = pd.read_csv(RAW_DATA_PATH)</w:t>
              <w:br/>
              <w:t xml:space="preserve">    print(f"[+] Loaded raw dataset: {df_raw.shape[0]} rows, {df_raw.shape[1]} columns")</w:t>
              <w:br/>
              <w:t xml:space="preserve">    return df_raw</w:t>
              <w:br/>
              <w:br/>
              <w:br/>
              <w:t>def audit_raw_data(df):</w:t>
              <w:br/>
              <w:t xml:space="preserve">    """Audits raw data for structure, types, missingness, and whitespace anomalies."""</w:t>
              <w:br/>
              <w:t xml:space="preserve">    audit = {}</w:t>
              <w:br/>
              <w:t xml:space="preserve">    audit["raw_shape"] = list(df.shape)</w:t>
              <w:br/>
              <w:t xml:space="preserve">    audit["columns"] = list(df.columns)</w:t>
              <w:br/>
              <w:t xml:space="preserve">    audit["dtypes_initial"] = {col: str(dtype) for col, dtype in df.dtypes.items()}</w:t>
              <w:br/>
              <w:t xml:space="preserve">    audit["standard_null_counts"] = {col: int(df[col].isna().sum()) for col in df.columns}</w:t>
              <w:br/>
              <w:t xml:space="preserve">    </w:t>
              <w:br/>
              <w:t xml:space="preserve">    # Check for whitespace-only strings</w:t>
              <w:br/>
              <w:t xml:space="preserve">    whitespace_counts = {}</w:t>
              <w:br/>
              <w:t xml:space="preserve">    for col in df.select_dtypes(include='object').columns:</w:t>
              <w:br/>
              <w:t xml:space="preserve">        ws_count = int(df[col].apply(lambda x: str(x).strip() == "").sum())</w:t>
              <w:br/>
              <w:t xml:space="preserve">        if ws_count &gt; 0:</w:t>
              <w:br/>
              <w:t xml:space="preserve">            whitespace_counts[col] = ws_count</w:t>
              <w:br/>
              <w:t xml:space="preserve">    audit["whitespace_counts"] = whitespace_counts</w:t>
              <w:br/>
              <w:t xml:space="preserve">    </w:t>
              <w:br/>
              <w:t xml:space="preserve">    # Check duplicates</w:t>
              <w:br/>
              <w:t xml:space="preserve">    audit["duplicate_rows"] = int(df.duplicated().sum())</w:t>
              <w:br/>
              <w:t xml:space="preserve">    audit["duplicate_customer_ids"] = int(df["customerID"].duplicated().sum())</w:t>
              <w:br/>
              <w:t xml:space="preserve">    </w:t>
              <w:br/>
              <w:t xml:space="preserve">    print(f"[+] Raw data audit complete: Found {whitespace_counts} whitespace values in {list(whitespace_counts.keys())}")</w:t>
              <w:br/>
              <w:t xml:space="preserve">    return audit</w:t>
              <w:br/>
              <w:br/>
              <w:br/>
              <w:t>def clean_data(df_raw, audit):</w:t>
              <w:br/>
              <w:t xml:space="preserve">    """Executes systematic data cleaning with full audit logging."""</w:t>
              <w:br/>
              <w:t xml:space="preserve">    df = df_raw.copy()</w:t>
              <w:br/>
              <w:t xml:space="preserve">    </w:t>
              <w:br/>
              <w:t xml:space="preserve">    # 1. TotalCharges whitespace unmasking</w:t>
              <w:br/>
              <w:t xml:space="preserve">    print("[*] Cleaning TotalCharges: detecting whitespace strings...")</w:t>
              <w:br/>
              <w:t xml:space="preserve">    whitespace_mask = df["TotalCharges"].str.strip() == ""</w:t>
              <w:br/>
              <w:t xml:space="preserve">    num_whitespace = int(whitespace_mask.sum())</w:t>
              <w:br/>
              <w:t xml:space="preserve">    </w:t>
              <w:br/>
              <w:t xml:space="preserve">    # Analyze subset of whitespace rows</w:t>
              <w:br/>
              <w:t xml:space="preserve">    ws_subset = df[whitespace_mask]</w:t>
              <w:br/>
              <w:t xml:space="preserve">    tenure_of_ws = ws_subset["tenure"].tolist()</w:t>
              <w:br/>
              <w:t xml:space="preserve">    print(f"    Found {num_whitespace} whitespace records. Their tenure values: {set(tenure_of_ws)}")</w:t>
              <w:br/>
              <w:t xml:space="preserve">    </w:t>
              <w:br/>
              <w:t xml:space="preserve">    # Convert to numeric, coercing spaces to NaN</w:t>
              <w:br/>
              <w:t xml:space="preserve">    df["TotalCharges"] = pd.to_numeric(df["TotalCharges"], errors="coerce")</w:t>
              <w:br/>
              <w:t xml:space="preserve">    </w:t>
              <w:br/>
              <w:t xml:space="preserve">    # Justified impu</w:t>
              <w:br/>
              <w:br/>
              <w:t># ... [Full script persisted in scripts/data_pipeline.py] ...</w:t>
            </w:r>
          </w:p>
        </w:tc>
      </w:tr>
    </w:tbl>
    <w:p>
      <w:pPr>
        <w:spacing w:before="0"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D37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