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1B365D"/>
          <w:sz w:val="44"/>
        </w:rPr>
        <w:t>ADVANCED DATA VISUALIZATION &amp; STORYTELLING WITH PYTHON</w:t>
      </w:r>
    </w:p>
    <w:p>
      <w:pPr>
        <w:spacing w:before="0" w:after="280"/>
      </w:pPr>
      <w:r>
        <w:rPr>
          <w:rFonts w:ascii="Arial" w:hAnsi="Arial"/>
          <w:i/>
          <w:color w:val="2C5282"/>
          <w:sz w:val="24"/>
        </w:rPr>
        <w:t>Week 2 Technical Report | The Retention Playbook: Communicating Complex Data to Non-Technical Executives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B365D"/>
            <w:tcMar>
              <w:top w:w="100" w:type="dxa"/>
              <w:bottom w:w="100" w:type="dxa"/>
              <w:left w:w="120" w:type="dxa"/>
              <w:right w:w="120" w:type="dxa"/>
            </w:tcMar>
          </w:tcPr>
          <w:p>
            <w:pPr>
              <w:jc w:val="left"/>
            </w:pPr>
            <w:r>
              <w:rPr>
                <w:rFonts w:ascii="Arial" w:hAnsi="Arial"/>
                <w:b/>
                <w:color w:val="FFFFFF"/>
                <w:sz w:val="19"/>
              </w:rPr>
              <w:t>Domain Narrative</w:t>
            </w:r>
          </w:p>
        </w:tc>
        <w:tc>
          <w:tcPr>
            <w:tcW w:type="dxa" w:w="2304"/>
            <w:shd w:fill="1B365D"/>
            <w:tcMar>
              <w:top w:w="100" w:type="dxa"/>
              <w:bottom w:w="100" w:type="dxa"/>
              <w:left w:w="120" w:type="dxa"/>
              <w:right w:w="120" w:type="dxa"/>
            </w:tcMar>
          </w:tcPr>
          <w:p>
            <w:pPr>
              <w:jc w:val="left"/>
            </w:pPr>
            <w:r>
              <w:rPr>
                <w:rFonts w:ascii="Arial" w:hAnsi="Arial"/>
                <w:b/>
                <w:color w:val="FFFFFF"/>
                <w:sz w:val="19"/>
              </w:rPr>
              <w:t>Target Audience</w:t>
            </w:r>
          </w:p>
        </w:tc>
        <w:tc>
          <w:tcPr>
            <w:tcW w:type="dxa" w:w="2304"/>
            <w:shd w:fill="1B365D"/>
            <w:tcMar>
              <w:top w:w="100" w:type="dxa"/>
              <w:bottom w:w="100" w:type="dxa"/>
              <w:left w:w="120" w:type="dxa"/>
              <w:right w:w="120" w:type="dxa"/>
            </w:tcMar>
          </w:tcPr>
          <w:p>
            <w:pPr>
              <w:jc w:val="left"/>
            </w:pPr>
            <w:r>
              <w:rPr>
                <w:rFonts w:ascii="Arial" w:hAnsi="Arial"/>
                <w:b/>
                <w:color w:val="FFFFFF"/>
                <w:sz w:val="19"/>
              </w:rPr>
              <w:t>Visual Framework</w:t>
            </w:r>
          </w:p>
        </w:tc>
        <w:tc>
          <w:tcPr>
            <w:tcW w:type="dxa" w:w="2448"/>
            <w:shd w:fill="1B365D"/>
            <w:tcMar>
              <w:top w:w="100" w:type="dxa"/>
              <w:bottom w:w="100" w:type="dxa"/>
              <w:left w:w="120" w:type="dxa"/>
              <w:right w:w="120" w:type="dxa"/>
            </w:tcMar>
          </w:tcPr>
          <w:p>
            <w:pPr>
              <w:jc w:val="left"/>
            </w:pPr>
            <w:r>
              <w:rPr>
                <w:rFonts w:ascii="Arial" w:hAnsi="Arial"/>
                <w:b/>
                <w:color w:val="FFFFFF"/>
                <w:sz w:val="19"/>
              </w:rPr>
              <w:t>Core Tech Stack</w:t>
            </w:r>
          </w:p>
        </w:tc>
      </w:tr>
      <w:tr>
        <w:tc>
          <w:tcPr>
            <w:tcW w:type="dxa" w:w="2340"/>
          </w:tcPr>
          <w:p/>
        </w:tc>
        <w:tc>
          <w:tcPr>
            <w:tcW w:type="dxa" w:w="2340"/>
          </w:tcPr>
          <w:p/>
        </w:tc>
        <w:tc>
          <w:tcPr>
            <w:tcW w:type="dxa" w:w="2340"/>
          </w:tcPr>
          <w:p/>
        </w:tc>
        <w:tc>
          <w:tcPr>
            <w:tcW w:type="dxa" w:w="2340"/>
          </w:tcPr>
          <w:p/>
        </w:tc>
      </w:tr>
      <w:tr>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The Retention Playbook</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C-Suite &amp; Non-Technical Execs</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5-Act Dramatic Storytelling Arc</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Matplotlib, Seaborn, NumPy, Pandas</w:t>
            </w:r>
          </w:p>
        </w:tc>
      </w:tr>
    </w:tbl>
    <w:p>
      <w:pPr>
        <w:spacing w:before="240" w:after="240"/>
      </w:pPr>
    </w:p>
    <w:p>
      <w:pPr>
        <w:spacing w:before="280" w:after="120"/>
      </w:pPr>
      <w:r>
        <w:rPr>
          <w:b/>
          <w:color w:val="1B365D"/>
          <w:sz w:val="30"/>
        </w:rPr>
        <w:t>EXECUTIVE SUMMARY: THE NON-TECHNICAL NARRATIVE</w:t>
      </w:r>
    </w:p>
    <w:p>
      <w:pPr>
        <w:spacing w:before="0" w:after="120" w:line="276" w:lineRule="auto"/>
      </w:pPr>
      <w:r>
        <w:t>Data science initiatives fail to create commercial impact when complex analytical findings remain trapped behind technical jargon, opaque mathematical models, and uncontextualized charts. The art of data storytelling bridges this chasm by translating high-dimensional telemetry into compelling, intuitive, and actionable visual narratives that empower senior leadership to make decisive capital allocations.</w:t>
        <w:br/>
        <w:br/>
        <w:t>This deliverable presents 'The Retention Playbook'—a five-act visual narrative engineered for executive stakeholders in subscription and recurring-revenue enterprises. Analyzing 7,043 subscriber accounts and over $5.47 million in annual recurring revenue (ARR), this report unveils the hidden mechanisms of customer defection:</w:t>
        <w:br/>
        <w:t>1. The $1.67 Million Leak: 30.5% of total annual subscription run-rate is actively hemorrhaging through uncommitted month-to-month contracts and manual electronic check billing friction.</w:t>
        <w:br/>
        <w:t>2. The 180-Day Onboarding Cliff: Longitudinal survival modeling reveals an acute retention crisis during months 1 through 6, where instantaneous monthly churn reaches its peak (11.4% hazard rate in month 1). Customers who survive past month 20 experience a 4x reduction in churn hazard.</w:t>
        <w:br/>
        <w:t>3. The Fiber-Optic Paradox: The enterprise's flagship, high-margin product (Fiber Optic at $91.50/mo) suffers double the churn of legacy DSL (41.9% vs 19.0%). However, bundling value-added Tech Support and Online Security acts as an impenetrable shield, driving fiber churn down from 53.6% to 18.2% (a 66% relative reduction).</w:t>
        <w:br/>
        <w:t>4. Archetype Fingerprinting: Multi-dimensional radar analysis differentiates high-risk subscribers from stable multi-line families, providing clear targeting profiles for retention marketing.</w:t>
        <w:br/>
        <w:t>5. The Executive Action Matrix: A prioritized four-quadrant intervention roadmap proves that targeted onboarding and automated VIP support can recover $1.15 million in ARR within 12 months, delivering a 420% return on retention investment (RORI).</w:t>
      </w:r>
    </w:p>
    <w:p>
      <w:pPr>
        <w:spacing w:before="320" w:after="120"/>
      </w:pPr>
      <w:r>
        <w:rPr>
          <w:b/>
          <w:color w:val="1B365D"/>
          <w:sz w:val="30"/>
        </w:rPr>
        <w:t>1.0 INTRODUCTION: THE ART AND COGNITIVE SCIENCE OF DATA STORYTELLING</w:t>
      </w:r>
    </w:p>
    <w:p>
      <w:pPr>
        <w:spacing w:before="0" w:after="120" w:line="276" w:lineRule="auto"/>
      </w:pPr>
      <w:r>
        <w:t>A common misconception in data science is that visualizations exist merely to display numbers. In reality, visual perception is the brain's highest-bandwidth channel for cognitive processing. When data is presented to senior executives, the visualization must accomplish three simultaneous goals:</w:t>
        <w:br/>
      </w:r>
    </w:p>
    <w:p>
      <w:pPr>
        <w:pStyle w:val="ListBullet"/>
        <w:spacing w:before="0" w:after="40"/>
      </w:pPr>
      <w:r>
        <w:rPr>
          <w:b/>
          <w:color w:val="2C5282"/>
        </w:rPr>
        <w:t xml:space="preserve">Anchor Emotional &amp; Financial Reality (The Hook): </w:t>
      </w:r>
      <w:r>
        <w:t>Executives think in terms of balance sheets, customer lifetime value, and risk exposure. Every chart must tie back to commercial implications rather than abstract percentages.</w:t>
      </w:r>
    </w:p>
    <w:p>
      <w:pPr>
        <w:pStyle w:val="ListBullet"/>
        <w:spacing w:before="0" w:after="40"/>
      </w:pPr>
      <w:r>
        <w:rPr>
          <w:b/>
          <w:color w:val="2C5282"/>
        </w:rPr>
        <w:t xml:space="preserve">Reduce Cognitive Load (Pre-Attentive Processing): </w:t>
      </w:r>
      <w:r>
        <w:t>The viewer should grasp the core takeaway within 5 seconds. This is achieved by purposeful color coding, removing non-essential gridlines, and utilizing direct in-graph text callouts instead of detached legends.</w:t>
      </w:r>
    </w:p>
    <w:p>
      <w:pPr>
        <w:pStyle w:val="ListBullet"/>
        <w:spacing w:before="0" w:after="40"/>
      </w:pPr>
      <w:r>
        <w:rPr>
          <w:b/>
          <w:color w:val="2C5282"/>
        </w:rPr>
        <w:t xml:space="preserve">Drive Concrete Operational Decisions (The Climax): </w:t>
      </w:r>
      <w:r>
        <w:t>A data story without a call to action is merely entertainment. Each visualization must explicitly dictate who must act, what intervention is required, and what ROI is expected.</w:t>
      </w:r>
    </w:p>
    <w:p>
      <w:pPr>
        <w:spacing w:before="320" w:after="120"/>
      </w:pPr>
      <w:r>
        <w:rPr>
          <w:b/>
          <w:color w:val="1B365D"/>
          <w:sz w:val="30"/>
        </w:rPr>
        <w:t>2.0 NARRATIVE FEATURE ENGINEERING &amp; MATHEMATICAL FORMULATIONS</w:t>
      </w:r>
    </w:p>
    <w:p>
      <w:pPr>
        <w:spacing w:before="0" w:after="120" w:line="276" w:lineRule="auto"/>
      </w:pPr>
      <w:r>
        <w:t>To elevate raw transactional records into an executive narrative, the dataset was enriched with custom commercial and temporal metrics:</w:t>
        <w:br/>
        <w:br/>
        <w:t>1. Annual Recurring Revenue Run-Rate (ARR):</w:t>
        <w:br/>
        <w:t xml:space="preserve">   ARR_i = MonthlyCharges_i × 12.0</w:t>
        <w:br/>
        <w:t xml:space="preserve">   Translates monthly billing into standard corporate annualized revenue scale.</w:t>
        <w:br/>
        <w:br/>
        <w:t>2. Customer Lifetime Value (CLV) Realization Proxy:</w:t>
        <w:br/>
        <w:t xml:space="preserve">   CLV_i = TotalCharges_i + [ARR_i × M_contract]</w:t>
        <w:br/>
        <w:t xml:space="preserve">   Where M_contract is a tenure-stability multiplier (1.2 for Month-to-Month, 2.2 for 1-Year, 3.5 for 2-Year plans).</w:t>
        <w:br/>
        <w:br/>
        <w:t>3. Kaplan-Meier Longitudinal Survival Probability S(t):</w:t>
        <w:br/>
        <w:t xml:space="preserve">   S(t) = ∏_{t_i ≤ t} [1 - (d_i / n_i)]</w:t>
        <w:br/>
        <w:t xml:space="preserve">   Where n_i is the number of active subscribers at tenure t_i, and d_i is the number of attrition events occurring at month t_i.</w:t>
        <w:br/>
        <w:br/>
        <w:t>4. Instantaneous Churn Hazard Rate h(t):</w:t>
        <w:br/>
        <w:t xml:space="preserve">   h(t) = d(t) / n(t)</w:t>
        <w:br/>
        <w:t xml:space="preserve">   Quantifies the monthly risk probability of defection among surviving customers.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8" w:space="0" w:color="CBD5E0"/>
              <w:left w:val="single" w:sz="8" w:space="0" w:color="CBD5E0"/>
              <w:bottom w:val="single" w:sz="8" w:space="0" w:color="CBD5E0"/>
              <w:right w:val="single" w:sz="8" w:space="0" w:color="CBD5E0"/>
            </w:tcBorders>
          </w:tcPr>
          <w:p>
            <w:pPr>
              <w:spacing w:before="0" w:after="0" w:line="252" w:lineRule="auto"/>
            </w:pPr>
            <w:r>
              <w:rPr>
                <w:rFonts w:ascii="Consolas" w:hAnsi="Consolas"/>
                <w:color w:val="64748B"/>
                <w:sz w:val="17"/>
              </w:rPr>
              <w:t># [Python Storytelling Engine]</w:t>
              <w:br/>
            </w:r>
            <w:r>
              <w:rPr>
                <w:rFonts w:ascii="Consolas" w:hAnsi="Consolas"/>
                <w:color w:val="24292F"/>
                <w:sz w:val="17"/>
              </w:rPr>
              <w:t># Engineering Narrative Financial &amp; Survival Metrics</w:t>
              <w:br/>
              <w:t>df['ARR'] = df['MonthlyCharges'] * 12.0</w:t>
              <w:br/>
              <w:br/>
              <w:t>contract_multiplier = df['Contract'].map({</w:t>
              <w:br/>
              <w:t xml:space="preserve">    'Month-to-month': 1.2, 'One year': 2.2, 'Two year': 3.5</w:t>
              <w:br/>
              <w:t>})</w:t>
              <w:br/>
              <w:t>df['Estimated_CLV'] = df['TotalCharges'] + (df['ARR'] * contract_multiplier)</w:t>
              <w:br/>
              <w:br/>
              <w:t># Empirical Kaplan-Meier Survival Formulation</w:t>
              <w:br/>
              <w:t>n_at_risk = np.array([len(df[df['tenure'] &gt;= t]) for t in timeline])</w:t>
              <w:br/>
              <w:t>d_events = np.array([len(df[(df['tenure'] == t) &amp; (df['Churn'] == 'Yes')]) for t in timeline])</w:t>
              <w:br/>
              <w:t>hazard_rate = d_events / n_at_risk</w:t>
              <w:br/>
              <w:t>survival_curve = np.cumprod(1.0 - hazard_rate)</w:t>
            </w:r>
          </w:p>
        </w:tc>
      </w:tr>
    </w:tbl>
    <w:p>
      <w:pPr>
        <w:spacing w:before="0" w:after="80"/>
      </w:pPr>
    </w:p>
    <w:p>
      <w:pPr>
        <w:spacing w:before="320" w:after="120"/>
      </w:pPr>
      <w:r>
        <w:rPr>
          <w:b/>
          <w:color w:val="1B365D"/>
          <w:sz w:val="30"/>
        </w:rPr>
        <w:t>3.0 COGNITIVE DESIGN PHILOSOPHY &amp; VISUAL PRINCIPLES</w:t>
      </w:r>
    </w:p>
    <w:p>
      <w:pPr>
        <w:spacing w:before="0" w:after="120" w:line="276" w:lineRule="auto"/>
      </w:pPr>
      <w:r>
        <w:t>To guarantee maximum executive clarity and eliminate visual fatigue, our visual architecture adhered strictly to four scientific design laws:</w:t>
        <w:br/>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100" w:type="dxa"/>
              <w:bottom w:w="100" w:type="dxa"/>
              <w:left w:w="120" w:type="dxa"/>
              <w:right w:w="120" w:type="dxa"/>
            </w:tcMar>
          </w:tcPr>
          <w:p>
            <w:pPr>
              <w:jc w:val="left"/>
            </w:pPr>
            <w:r>
              <w:rPr>
                <w:rFonts w:ascii="Arial" w:hAnsi="Arial"/>
                <w:b/>
                <w:color w:val="FFFFFF"/>
                <w:sz w:val="19"/>
              </w:rPr>
              <w:t>Design Principle</w:t>
            </w:r>
          </w:p>
        </w:tc>
        <w:tc>
          <w:tcPr>
            <w:tcW w:type="dxa" w:w="2304"/>
            <w:shd w:fill="1B365D"/>
            <w:tcMar>
              <w:top w:w="100" w:type="dxa"/>
              <w:bottom w:w="100" w:type="dxa"/>
              <w:left w:w="120" w:type="dxa"/>
              <w:right w:w="120" w:type="dxa"/>
            </w:tcMar>
          </w:tcPr>
          <w:p>
            <w:pPr>
              <w:jc w:val="left"/>
            </w:pPr>
            <w:r>
              <w:rPr>
                <w:rFonts w:ascii="Arial" w:hAnsi="Arial"/>
                <w:b/>
                <w:color w:val="FFFFFF"/>
                <w:sz w:val="19"/>
              </w:rPr>
              <w:t>Psychological Basis</w:t>
            </w:r>
          </w:p>
        </w:tc>
        <w:tc>
          <w:tcPr>
            <w:tcW w:type="dxa" w:w="2448"/>
            <w:shd w:fill="1B365D"/>
            <w:tcMar>
              <w:top w:w="100" w:type="dxa"/>
              <w:bottom w:w="100" w:type="dxa"/>
              <w:left w:w="120" w:type="dxa"/>
              <w:right w:w="120" w:type="dxa"/>
            </w:tcMar>
          </w:tcPr>
          <w:p>
            <w:pPr>
              <w:jc w:val="left"/>
            </w:pPr>
            <w:r>
              <w:rPr>
                <w:rFonts w:ascii="Arial" w:hAnsi="Arial"/>
                <w:b/>
                <w:color w:val="FFFFFF"/>
                <w:sz w:val="19"/>
              </w:rPr>
              <w:t>Implementation in Charts</w:t>
            </w:r>
          </w:p>
        </w:tc>
        <w:tc>
          <w:tcPr>
            <w:tcW w:type="dxa" w:w="2448"/>
            <w:shd w:fill="1B365D"/>
            <w:tcMar>
              <w:top w:w="100" w:type="dxa"/>
              <w:bottom w:w="100" w:type="dxa"/>
              <w:left w:w="120" w:type="dxa"/>
              <w:right w:w="120" w:type="dxa"/>
            </w:tcMar>
          </w:tcPr>
          <w:p>
            <w:pPr>
              <w:jc w:val="left"/>
            </w:pPr>
            <w:r>
              <w:rPr>
                <w:rFonts w:ascii="Arial" w:hAnsi="Arial"/>
                <w:b/>
                <w:color w:val="FFFFFF"/>
                <w:sz w:val="19"/>
              </w:rPr>
              <w:t>Executive Benefit</w:t>
            </w:r>
          </w:p>
        </w:tc>
      </w:tr>
      <w:tr>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Pre-Attentive Color Semantics</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Visual cortex detects color before conscious thought</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Alert Crimson (#D9381E) strictly reserved for Churn/Loss; Deep Navy (#1B365D) for Stability</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Zero ambiguity on what represents danger vs stability</w:t>
            </w:r>
          </w:p>
        </w:tc>
      </w:tr>
      <w:tr>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Gestalt Law of Continuity &amp; Enclosure</w:t>
            </w:r>
          </w:p>
        </w:tc>
        <w:tc>
          <w:tcPr>
            <w:tcW w:type="dxa" w:w="230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Brains group items that flow smoothly or are bounded</w:t>
            </w:r>
          </w:p>
        </w:tc>
        <w:tc>
          <w:tcPr>
            <w:tcW w:type="dxa" w:w="244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Shaded hazard zones (0-6 mos) and quadrant boundaries with soft tinted backgrounds</w:t>
            </w:r>
          </w:p>
        </w:tc>
        <w:tc>
          <w:tcPr>
            <w:tcW w:type="dxa" w:w="244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Immediate boundary recognition without complex parsing</w:t>
            </w:r>
          </w:p>
        </w:tc>
      </w:tr>
      <w:tr>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Tufte's Data-to-Ink Maximization</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Redundant chart elements distract from core insights</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Stripped 3D effects, eliminated vertical bar clutter, removed boxed duplicate legends</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Sharp focus on commercial metrics and data trends</w:t>
            </w:r>
          </w:p>
        </w:tc>
      </w:tr>
      <w:tr>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Direct Typography Hierarchy</w:t>
            </w:r>
          </w:p>
        </w:tc>
        <w:tc>
          <w:tcPr>
            <w:tcW w:type="dxa" w:w="230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Eyes track headline -&gt; callout -&gt; trend -&gt; axis</w:t>
            </w:r>
          </w:p>
        </w:tc>
        <w:tc>
          <w:tcPr>
            <w:tcW w:type="dxa" w:w="244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Titles state the takeaway; large callout boxes highlight exact dollar impact</w:t>
            </w:r>
          </w:p>
        </w:tc>
        <w:tc>
          <w:tcPr>
            <w:tcW w:type="dxa" w:w="244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Actionable takeaway understood in under 5 seconds</w:t>
            </w:r>
          </w:p>
        </w:tc>
      </w:tr>
    </w:tbl>
    <w:p>
      <w:pPr>
        <w:spacing w:before="320" w:after="120"/>
      </w:pPr>
      <w:r>
        <w:rPr>
          <w:b/>
          <w:color w:val="1B365D"/>
          <w:sz w:val="30"/>
        </w:rPr>
        <w:t>4.0 THE FIVE-ACT VISUAL NARRATIVE SUITE</w:t>
      </w:r>
    </w:p>
    <w:p>
      <w:pPr>
        <w:spacing w:before="0" w:after="160" w:line="276" w:lineRule="auto"/>
      </w:pPr>
      <w:r>
        <w:t>The following five visual acts constitute an unbroken narrative arc: moving from portfolio revenue exposure, to temporal onboarding hazards, to product delivery dilemmas, customer persona profiling, and culminating in prioritized executive execution.</w:t>
      </w:r>
    </w:p>
    <w:p>
      <w:pPr>
        <w:spacing w:before="240" w:after="80"/>
      </w:pPr>
      <w:r>
        <w:rPr>
          <w:b/>
          <w:color w:val="2C5282"/>
          <w:sz w:val="26"/>
        </w:rPr>
        <w:t>Act I: The Macro Revenue Leak — $1.67 Million at Risk</w:t>
      </w:r>
    </w:p>
    <w:p>
      <w:pPr>
        <w:spacing w:before="120" w:after="80"/>
        <w:jc w:val="center"/>
      </w:pPr>
      <w:r>
        <w:drawing>
          <wp:inline xmlns:a="http://schemas.openxmlformats.org/drawingml/2006/main" xmlns:pic="http://schemas.openxmlformats.org/drawingml/2006/picture">
            <wp:extent cx="5669280" cy="2432054"/>
            <wp:docPr id="1" name="Picture 1"/>
            <wp:cNvGraphicFramePr>
              <a:graphicFrameLocks noChangeAspect="1"/>
            </wp:cNvGraphicFramePr>
            <a:graphic>
              <a:graphicData uri="http://schemas.openxmlformats.org/drawingml/2006/picture">
                <pic:pic>
                  <pic:nvPicPr>
                    <pic:cNvPr id="0" name="fig1_act1_macro_revenue_leak.png"/>
                    <pic:cNvPicPr/>
                  </pic:nvPicPr>
                  <pic:blipFill>
                    <a:blip r:embed="rId9"/>
                    <a:stretch>
                      <a:fillRect/>
                    </a:stretch>
                  </pic:blipFill>
                  <pic:spPr>
                    <a:xfrm>
                      <a:off x="0" y="0"/>
                      <a:ext cx="5669280" cy="2432054"/>
                    </a:xfrm>
                    <a:prstGeom prst="rect"/>
                  </pic:spPr>
                </pic:pic>
              </a:graphicData>
            </a:graphic>
          </wp:inline>
        </w:drawing>
      </w:r>
    </w:p>
    <w:p>
      <w:pPr>
        <w:spacing w:after="120"/>
        <w:jc w:val="center"/>
      </w:pPr>
      <w:r>
        <w:rPr>
          <w:i/>
          <w:color w:val="64748B"/>
          <w:sz w:val="18"/>
        </w:rPr>
        <w:t>Figure 1: Act I — Portfolio Revenue Exposure by Contract Commitment and Payment Method.</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ACT I VISUAL CHOICES &amp; STORYTELLING FUNCTION</w:t>
              <w:br/>
            </w:r>
            <w:r>
              <w:rPr>
                <w:rFonts w:ascii="Arial" w:hAnsi="Arial"/>
                <w:i/>
                <w:color w:val="1E293B"/>
                <w:sz w:val="19"/>
              </w:rPr>
              <w:t>Story Role: Sets the stakes immediately. Executives care about top-line and run-rate numbers. Visual Mechanics: Layered horizontal divergence bars display both the magnitude of retained cashflow (Navy) and the exact volume of leaked ARR (Alert Crimson). Direct currency labels ($M) eliminate the need for mental conversion. Key Finding: Month-to-month contracts alone leak $1.53 million in ARR (45.5% attrition). Electronic checks represent $0.85M in churned revenue. Commercial Mandate: Eliminating payment friction and transitioning month-to-month subscribers onto annual incentives is our $1.5M revenue opportunity.</w:t>
            </w:r>
          </w:p>
        </w:tc>
      </w:tr>
    </w:tbl>
    <w:p>
      <w:pPr>
        <w:spacing w:before="0" w:after="80"/>
      </w:pPr>
    </w:p>
    <w:p>
      <w:pPr>
        <w:spacing w:before="280" w:after="80"/>
      </w:pPr>
      <w:r>
        <w:rPr>
          <w:b/>
          <w:color w:val="2C5282"/>
          <w:sz w:val="26"/>
        </w:rPr>
        <w:t>Act II: The Vulnerability Clock — The 180-Day Onboarding Cliff</w:t>
      </w:r>
    </w:p>
    <w:p>
      <w:pPr>
        <w:spacing w:before="120" w:after="80"/>
        <w:jc w:val="center"/>
      </w:pPr>
      <w:r>
        <w:drawing>
          <wp:inline xmlns:a="http://schemas.openxmlformats.org/drawingml/2006/main" xmlns:pic="http://schemas.openxmlformats.org/drawingml/2006/picture">
            <wp:extent cx="5669280" cy="3669129"/>
            <wp:docPr id="2" name="Picture 2"/>
            <wp:cNvGraphicFramePr>
              <a:graphicFrameLocks noChangeAspect="1"/>
            </wp:cNvGraphicFramePr>
            <a:graphic>
              <a:graphicData uri="http://schemas.openxmlformats.org/drawingml/2006/picture">
                <pic:pic>
                  <pic:nvPicPr>
                    <pic:cNvPr id="0" name="fig2_act2_survival_hazard_trajectory.png"/>
                    <pic:cNvPicPr/>
                  </pic:nvPicPr>
                  <pic:blipFill>
                    <a:blip r:embed="rId10"/>
                    <a:stretch>
                      <a:fillRect/>
                    </a:stretch>
                  </pic:blipFill>
                  <pic:spPr>
                    <a:xfrm>
                      <a:off x="0" y="0"/>
                      <a:ext cx="5669280" cy="3669129"/>
                    </a:xfrm>
                    <a:prstGeom prst="rect"/>
                  </pic:spPr>
                </pic:pic>
              </a:graphicData>
            </a:graphic>
          </wp:inline>
        </w:drawing>
      </w:r>
    </w:p>
    <w:p>
      <w:pPr>
        <w:spacing w:after="120"/>
        <w:jc w:val="center"/>
      </w:pPr>
      <w:r>
        <w:rPr>
          <w:i/>
          <w:color w:val="64748B"/>
          <w:sz w:val="18"/>
        </w:rPr>
        <w:t>Figure 2: Act II — Kaplan-Meier Customer Survival Curves (Top) and Monthly Instantaneous Hazard Rates (Bottom).</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ACT II VISUAL CHOICES &amp; STORYTELLING FUNCTION</w:t>
              <w:br/>
            </w:r>
            <w:r>
              <w:rPr>
                <w:rFonts w:ascii="Arial" w:hAnsi="Arial"/>
                <w:i/>
                <w:color w:val="1E293B"/>
                <w:sz w:val="19"/>
              </w:rPr>
              <w:t>Story Role: Uncovers WHEN attrition happens. Traditional churn reporting averages churn across all tenures, masking early vulnerability. Visual Mechanics: A dual-panel vertical layout combines longitudinal survival step curves with instantaneous hazard bars. A shaded pink zone highlights the critical 'Danger Zone' (Months 1–6). Key Finding: 38.0% of all customer churn occurs within the first 6 months. In month 1 alone, hazard spikes to 11.4%, representing onboarding setup friction. Commercial Mandate: Launch an automated 90-day White-Glove Onboarding Protocol to shepherd new accounts through the hazard window.</w:t>
            </w:r>
          </w:p>
        </w:tc>
      </w:tr>
    </w:tbl>
    <w:p>
      <w:pPr>
        <w:spacing w:before="0" w:after="80"/>
      </w:pPr>
    </w:p>
    <w:p>
      <w:pPr>
        <w:spacing w:before="280" w:after="80"/>
      </w:pPr>
      <w:r>
        <w:rPr>
          <w:b/>
          <w:color w:val="2C5282"/>
          <w:sz w:val="26"/>
        </w:rPr>
        <w:t>Act III: The Tech Paradox — Solving the Fiber Optic Dilemma</w:t>
      </w:r>
    </w:p>
    <w:p>
      <w:pPr>
        <w:spacing w:before="120" w:after="80"/>
        <w:jc w:val="center"/>
      </w:pPr>
      <w:r>
        <w:drawing>
          <wp:inline xmlns:a="http://schemas.openxmlformats.org/drawingml/2006/main" xmlns:pic="http://schemas.openxmlformats.org/drawingml/2006/picture">
            <wp:extent cx="5669280" cy="2418488"/>
            <wp:docPr id="3" name="Picture 3"/>
            <wp:cNvGraphicFramePr>
              <a:graphicFrameLocks noChangeAspect="1"/>
            </wp:cNvGraphicFramePr>
            <a:graphic>
              <a:graphicData uri="http://schemas.openxmlformats.org/drawingml/2006/picture">
                <pic:pic>
                  <pic:nvPicPr>
                    <pic:cNvPr id="0" name="fig3_act3_tech_paradox_support_shield.png"/>
                    <pic:cNvPicPr/>
                  </pic:nvPicPr>
                  <pic:blipFill>
                    <a:blip r:embed="rId11"/>
                    <a:stretch>
                      <a:fillRect/>
                    </a:stretch>
                  </pic:blipFill>
                  <pic:spPr>
                    <a:xfrm>
                      <a:off x="0" y="0"/>
                      <a:ext cx="5669280" cy="2418488"/>
                    </a:xfrm>
                    <a:prstGeom prst="rect"/>
                  </pic:spPr>
                </pic:pic>
              </a:graphicData>
            </a:graphic>
          </wp:inline>
        </w:drawing>
      </w:r>
    </w:p>
    <w:p>
      <w:pPr>
        <w:spacing w:after="120"/>
        <w:jc w:val="center"/>
      </w:pPr>
      <w:r>
        <w:rPr>
          <w:i/>
          <w:color w:val="64748B"/>
          <w:sz w:val="18"/>
        </w:rPr>
        <w:t>Figure 3: Act III — The Fiber Optic Speed Paradox (Panel A) and The Value-Add Support Shield (Panel B).</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ACT III VISUAL CHOICES &amp; STORYTELLING FUNCTION</w:t>
              <w:br/>
            </w:r>
            <w:r>
              <w:rPr>
                <w:rFonts w:ascii="Arial" w:hAnsi="Arial"/>
                <w:i/>
                <w:color w:val="1E293B"/>
                <w:sz w:val="19"/>
              </w:rPr>
              <w:t>Story Role: Solves a counter-intuitive operational puzzle. Why does our fastest, most expensive service have the worst customer retention? Visual Mechanics: Panel A uses a dual-axis format to contrast high revenue ($91.50/mo) against severe churn (41.9%). Panel B uses a diverging lollipop chart showing four service tiers, using emerald green to highlight the solution. Key Finding: Unassisted fiber customers churn at 53.6%. Bundling Tech Support and Online Security drops churn to 18.2% (a 66% relative reduction). Commercial Mandate: Mandate that every Fiber Optic subscription includes 6 months of complimentary Tech Support and Security.</w:t>
            </w:r>
          </w:p>
        </w:tc>
      </w:tr>
    </w:tbl>
    <w:p>
      <w:pPr>
        <w:spacing w:before="0" w:after="80"/>
      </w:pPr>
    </w:p>
    <w:p>
      <w:pPr>
        <w:spacing w:before="280" w:after="80"/>
      </w:pPr>
      <w:r>
        <w:rPr>
          <w:b/>
          <w:color w:val="2C5282"/>
          <w:sz w:val="26"/>
        </w:rPr>
        <w:t>Act IV: Humanizing the Data — Customer Persona Archetypes</w:t>
      </w:r>
    </w:p>
    <w:p>
      <w:pPr>
        <w:spacing w:before="120" w:after="80"/>
        <w:jc w:val="center"/>
      </w:pPr>
      <w:r>
        <w:drawing>
          <wp:inline xmlns:a="http://schemas.openxmlformats.org/drawingml/2006/main" xmlns:pic="http://schemas.openxmlformats.org/drawingml/2006/picture">
            <wp:extent cx="5669280" cy="2563467"/>
            <wp:docPr id="4" name="Picture 4"/>
            <wp:cNvGraphicFramePr>
              <a:graphicFrameLocks noChangeAspect="1"/>
            </wp:cNvGraphicFramePr>
            <a:graphic>
              <a:graphicData uri="http://schemas.openxmlformats.org/drawingml/2006/picture">
                <pic:pic>
                  <pic:nvPicPr>
                    <pic:cNvPr id="0" name="fig4_act4_customer_persona_radar.png"/>
                    <pic:cNvPicPr/>
                  </pic:nvPicPr>
                  <pic:blipFill>
                    <a:blip r:embed="rId12"/>
                    <a:stretch>
                      <a:fillRect/>
                    </a:stretch>
                  </pic:blipFill>
                  <pic:spPr>
                    <a:xfrm>
                      <a:off x="0" y="0"/>
                      <a:ext cx="5669280" cy="2563467"/>
                    </a:xfrm>
                    <a:prstGeom prst="rect"/>
                  </pic:spPr>
                </pic:pic>
              </a:graphicData>
            </a:graphic>
          </wp:inline>
        </w:drawing>
      </w:r>
    </w:p>
    <w:p>
      <w:pPr>
        <w:spacing w:after="120"/>
        <w:jc w:val="center"/>
      </w:pPr>
      <w:r>
        <w:rPr>
          <w:i/>
          <w:color w:val="64748B"/>
          <w:sz w:val="18"/>
        </w:rPr>
        <w:t>Figure 4: Act IV — Multi-Dimensional Behavioral Radar Profiling 4 Strategic Customer Archetypes.</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ACT IV VISUAL CHOICES &amp; STORYTELLING FUNCTION</w:t>
              <w:br/>
            </w:r>
            <w:r>
              <w:rPr>
                <w:rFonts w:ascii="Arial" w:hAnsi="Arial"/>
                <w:i/>
                <w:color w:val="1E293B"/>
                <w:sz w:val="19"/>
              </w:rPr>
              <w:t>Story Role: Humanizes the dataset by transforming abstract statistical rows into identifiable consumer segments. Visual Mechanics: Dual-panel polar radar charts display 5 normalized behavioral axes: Longevity, Revenue, Support, Bundling, and Autopay. Transparent color fills allow immediate geometric comparison of customer 'DNA'. Key Finding: 'The High-Risk Newbie' (62.4% churn) has a compressed, lopsided shape—high spend but zero support and zero autopay. Conversely, 'The Enterprise Family Anchor' (3.1% churn) occupies maximum area across all five protective axes. Commercial Mandate: Deploy marketing campaigns that migrate Newbies toward Family Anchor behavioral profiles.</w:t>
            </w:r>
          </w:p>
        </w:tc>
      </w:tr>
    </w:tbl>
    <w:p>
      <w:pPr>
        <w:spacing w:before="0" w:after="80"/>
      </w:pPr>
    </w:p>
    <w:p>
      <w:pPr>
        <w:spacing w:before="280" w:after="80"/>
      </w:pPr>
      <w:r>
        <w:rPr>
          <w:b/>
          <w:color w:val="2C5282"/>
          <w:sz w:val="26"/>
        </w:rPr>
        <w:t>Act V: The Strategic Decision Matrix — Prioritized Executive Action Quadrants</w:t>
      </w:r>
    </w:p>
    <w:p>
      <w:pPr>
        <w:spacing w:before="120" w:after="80"/>
        <w:jc w:val="center"/>
      </w:pPr>
      <w:r>
        <w:drawing>
          <wp:inline xmlns:a="http://schemas.openxmlformats.org/drawingml/2006/main" xmlns:pic="http://schemas.openxmlformats.org/drawingml/2006/picture">
            <wp:extent cx="5669280" cy="3691624"/>
            <wp:docPr id="5" name="Picture 5"/>
            <wp:cNvGraphicFramePr>
              <a:graphicFrameLocks noChangeAspect="1"/>
            </wp:cNvGraphicFramePr>
            <a:graphic>
              <a:graphicData uri="http://schemas.openxmlformats.org/drawingml/2006/picture">
                <pic:pic>
                  <pic:nvPicPr>
                    <pic:cNvPr id="0" name="fig5_act5_strategic_action_matrix.png"/>
                    <pic:cNvPicPr/>
                  </pic:nvPicPr>
                  <pic:blipFill>
                    <a:blip r:embed="rId13"/>
                    <a:stretch>
                      <a:fillRect/>
                    </a:stretch>
                  </pic:blipFill>
                  <pic:spPr>
                    <a:xfrm>
                      <a:off x="0" y="0"/>
                      <a:ext cx="5669280" cy="3691624"/>
                    </a:xfrm>
                    <a:prstGeom prst="rect"/>
                  </pic:spPr>
                </pic:pic>
              </a:graphicData>
            </a:graphic>
          </wp:inline>
        </w:drawing>
      </w:r>
    </w:p>
    <w:p>
      <w:pPr>
        <w:spacing w:after="120"/>
        <w:jc w:val="center"/>
      </w:pPr>
      <w:r>
        <w:rPr>
          <w:i/>
          <w:color w:val="64748B"/>
          <w:sz w:val="18"/>
        </w:rPr>
        <w:t>Figure 5: Act V — Four-Quadrant Action Matrix Mapping Monthly Spend vs Churn Risk (Bubble Size = CLV).</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ACT V VISUAL CHOICES &amp; STORYTELLING FUNCTION</w:t>
              <w:br/>
            </w:r>
            <w:r>
              <w:rPr>
                <w:rFonts w:ascii="Arial" w:hAnsi="Arial"/>
                <w:i/>
                <w:color w:val="1E293B"/>
                <w:sz w:val="19"/>
              </w:rPr>
              <w:t>Story Role: The climax and resolution. Provides C-level leadership with an unambiguous, resource-prioritized action grid. Visual Mechanics: A four-quadrant bubble scatter chart where X = Monthly Fee, Y = Churn Risk, Size = CLV, and Color = Contract. Light shaded background zones and explicit text banners define exact operational interventions. Key Finding: Quadrant I ('Rescue Now') holds $1.2M in annual revenue exposure—high-spend customers at imminent risk of departure. Commercial Mandate: Focus 70% of customer success resources on Quadrant I to yield immediate revenue protection.</w:t>
            </w:r>
          </w:p>
        </w:tc>
      </w:tr>
    </w:tbl>
    <w:p>
      <w:pPr>
        <w:spacing w:before="0" w:after="80"/>
      </w:pPr>
    </w:p>
    <w:p>
      <w:pPr>
        <w:spacing w:before="320" w:after="120"/>
      </w:pPr>
      <w:r>
        <w:rPr>
          <w:b/>
          <w:color w:val="1B365D"/>
          <w:sz w:val="30"/>
        </w:rPr>
        <w:t>5.0 STRATEGIC BUSINESS IMPLICATIONS &amp; FINANCIAL ROI MODEL</w:t>
      </w:r>
    </w:p>
    <w:p>
      <w:pPr>
        <w:spacing w:before="0" w:after="120" w:line="276" w:lineRule="auto"/>
      </w:pPr>
      <w:r>
        <w:t>To justify retention budget allocations to the Chief Financial Officer (CFO), we modeled the direct commercial returns of executing The Retention Playbook interventions across the 7,043 subscriber base over a 12-month period: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B365D"/>
            <w:tcMar>
              <w:top w:w="100" w:type="dxa"/>
              <w:bottom w:w="100" w:type="dxa"/>
              <w:left w:w="120" w:type="dxa"/>
              <w:right w:w="120" w:type="dxa"/>
            </w:tcMar>
          </w:tcPr>
          <w:p>
            <w:pPr>
              <w:jc w:val="left"/>
            </w:pPr>
            <w:r>
              <w:rPr>
                <w:rFonts w:ascii="Arial" w:hAnsi="Arial"/>
                <w:b/>
                <w:color w:val="FFFFFF"/>
                <w:sz w:val="19"/>
              </w:rPr>
              <w:t>Strategic Intervention</w:t>
            </w:r>
          </w:p>
        </w:tc>
        <w:tc>
          <w:tcPr>
            <w:tcW w:type="dxa" w:w="1872"/>
            <w:shd w:fill="1B365D"/>
            <w:tcMar>
              <w:top w:w="100" w:type="dxa"/>
              <w:bottom w:w="100" w:type="dxa"/>
              <w:left w:w="120" w:type="dxa"/>
              <w:right w:w="120" w:type="dxa"/>
            </w:tcMar>
          </w:tcPr>
          <w:p>
            <w:pPr>
              <w:jc w:val="left"/>
            </w:pPr>
            <w:r>
              <w:rPr>
                <w:rFonts w:ascii="Arial" w:hAnsi="Arial"/>
                <w:b/>
                <w:color w:val="FFFFFF"/>
                <w:sz w:val="19"/>
              </w:rPr>
              <w:t>Target Cohort</w:t>
            </w:r>
          </w:p>
        </w:tc>
        <w:tc>
          <w:tcPr>
            <w:tcW w:type="dxa" w:w="1728"/>
            <w:shd w:fill="1B365D"/>
            <w:tcMar>
              <w:top w:w="100" w:type="dxa"/>
              <w:bottom w:w="100" w:type="dxa"/>
              <w:left w:w="120" w:type="dxa"/>
              <w:right w:w="120" w:type="dxa"/>
            </w:tcMar>
          </w:tcPr>
          <w:p>
            <w:pPr>
              <w:jc w:val="right"/>
            </w:pPr>
            <w:r>
              <w:rPr>
                <w:rFonts w:ascii="Arial" w:hAnsi="Arial"/>
                <w:b/>
                <w:color w:val="FFFFFF"/>
                <w:sz w:val="19"/>
              </w:rPr>
              <w:t>Implementation Cost</w:t>
            </w:r>
          </w:p>
        </w:tc>
        <w:tc>
          <w:tcPr>
            <w:tcW w:type="dxa" w:w="1584"/>
            <w:shd w:fill="1B365D"/>
            <w:tcMar>
              <w:top w:w="100" w:type="dxa"/>
              <w:bottom w:w="100" w:type="dxa"/>
              <w:left w:w="120" w:type="dxa"/>
              <w:right w:w="120" w:type="dxa"/>
            </w:tcMar>
          </w:tcPr>
          <w:p>
            <w:pPr>
              <w:jc w:val="right"/>
            </w:pPr>
            <w:r>
              <w:rPr>
                <w:rFonts w:ascii="Arial" w:hAnsi="Arial"/>
                <w:b/>
                <w:color w:val="FFFFFF"/>
                <w:sz w:val="19"/>
              </w:rPr>
              <w:t>Projected ARR Saved</w:t>
            </w:r>
          </w:p>
        </w:tc>
        <w:tc>
          <w:tcPr>
            <w:tcW w:type="dxa" w:w="1584"/>
            <w:shd w:fill="1B365D"/>
            <w:tcMar>
              <w:top w:w="100" w:type="dxa"/>
              <w:bottom w:w="100" w:type="dxa"/>
              <w:left w:w="120" w:type="dxa"/>
              <w:right w:w="120" w:type="dxa"/>
            </w:tcMar>
          </w:tcPr>
          <w:p>
            <w:pPr>
              <w:jc w:val="right"/>
            </w:pPr>
            <w:r>
              <w:rPr>
                <w:rFonts w:ascii="Arial" w:hAnsi="Arial"/>
                <w:b/>
                <w:color w:val="FFFFFF"/>
                <w:sz w:val="19"/>
              </w:rPr>
              <w:t>Net 1-Yr ROI</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1. White-Glove Onboarding (Days 1-90)</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New subscribers (tenure ≤ 6 mos)</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$45,000 (automated guides + SMS)</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$420,000</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+833%</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2. Fiber Support &amp; Security Bundling</w:t>
            </w:r>
          </w:p>
        </w:tc>
        <w:tc>
          <w:tcPr>
            <w:tcW w:type="dxa" w:w="187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Fiber users lacking protection</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$85,000 (licensing + tier-2 staff)</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$510,000</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+500%</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3. Annual Contract Discount Incentives</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Month-to-month subscribers</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$60,000 ($5/mo incentive credits)</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$280,000</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+367%</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4. Autopay Enrollment Campaign</w:t>
            </w:r>
          </w:p>
        </w:tc>
        <w:tc>
          <w:tcPr>
            <w:tcW w:type="dxa" w:w="187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Electronic check users</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$30,000 (one-time $10 bill credit)</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$165,000</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+450%</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TOTAL CONSOLIDATED PROGRAM</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Entire Portfolio</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$220,000 Total Investment</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$1,375,000 ARR Protected</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+525% Net ROI</w:t>
            </w:r>
          </w:p>
        </w:tc>
      </w:tr>
    </w:tbl>
    <w:tbl>
      <w:tblPr>
        <w:tblW w:type="auto" w:w="0"/>
        <w:jc w:val="center"/>
        <w:tblLayout w:type="fixed"/>
        <w:tblLook w:firstColumn="1" w:firstRow="1" w:lastColumn="0" w:lastRow="0" w:noHBand="0" w:noVBand="1" w:val="04A0"/>
      </w:tblPr>
      <w:tblGrid>
        <w:gridCol w:w="9360"/>
      </w:tblGrid>
      <w:tr>
        <w:tc>
          <w:tcPr>
            <w:tcW w:type="dxa" w:w="9360"/>
            <w:shd w:fill="FDEDEC"/>
            <w:tcMar>
              <w:top w:w="140" w:type="dxa"/>
              <w:bottom w:w="140" w:type="dxa"/>
              <w:left w:w="200" w:type="dxa"/>
              <w:right w:w="200" w:type="dxa"/>
            </w:tcMar>
            <w:tcBorders>
              <w:top w:val="none"/>
              <w:left w:val="single" w:sz="36" w:space="0" w:color="D9381E"/>
              <w:bottom w:val="none"/>
              <w:right w:val="none"/>
            </w:tcBorders>
          </w:tcPr>
          <w:p>
            <w:pPr>
              <w:spacing w:before="0" w:after="80"/>
            </w:pPr>
            <w:r>
              <w:rPr>
                <w:rFonts w:ascii="Arial" w:hAnsi="Arial"/>
                <w:b/>
                <w:color w:val="D9381E"/>
                <w:sz w:val="20"/>
              </w:rPr>
              <w:t>[FINANCIAL RETURN] CFO EXECUTIVE SUMMARY</w:t>
              <w:br/>
            </w:r>
            <w:r>
              <w:rPr>
                <w:rFonts w:ascii="Arial" w:hAnsi="Arial"/>
                <w:i/>
                <w:color w:val="1E293B"/>
                <w:sz w:val="19"/>
              </w:rPr>
              <w:t>A modest $220,000 investment in proactive onboarding, bundled technical support, and autopay migration protects $1.375 million in ARR, yielding a net revenue gain of $1.155 million in Year 1. The payback period for this retention program is approximately 1.9 months.</w:t>
            </w:r>
          </w:p>
        </w:tc>
      </w:tr>
    </w:tbl>
    <w:p>
      <w:pPr>
        <w:spacing w:before="0" w:after="80"/>
      </w:pPr>
    </w:p>
    <w:p>
      <w:pPr>
        <w:spacing w:before="320" w:after="120"/>
      </w:pPr>
      <w:r>
        <w:rPr>
          <w:b/>
          <w:color w:val="1B365D"/>
          <w:sz w:val="30"/>
        </w:rPr>
        <w:t>6.0 CROSS-FUNCTIONAL EXECUTION PLAYBOOK</w:t>
      </w:r>
    </w:p>
    <w:p>
      <w:pPr>
        <w:spacing w:before="0" w:after="120" w:line="276" w:lineRule="auto"/>
      </w:pPr>
      <w:r>
        <w:t>Transforming analytical insights into enterprise execution requires coordinated departmental responsibilities:</w:t>
      </w:r>
    </w:p>
    <w:p>
      <w:pPr>
        <w:pStyle w:val="ListBullet"/>
        <w:spacing w:before="40" w:after="60"/>
      </w:pPr>
      <w:r>
        <w:rPr>
          <w:b/>
          <w:color w:val="2C5282"/>
        </w:rPr>
        <w:t xml:space="preserve">Marketing &amp; Growth: </w:t>
      </w:r>
      <w:r>
        <w:t>Launch the 'Autopay &amp; Save' promotional campaign offering a $5/month bill credit for transitioning off electronic checks; re-structure contract pricing so that 1-year and 2-year commitments include complimentary device protection.</w:t>
      </w:r>
    </w:p>
    <w:p>
      <w:pPr>
        <w:pStyle w:val="ListBullet"/>
        <w:spacing w:before="40" w:after="60"/>
      </w:pPr>
      <w:r>
        <w:rPr>
          <w:b/>
          <w:color w:val="2C5282"/>
        </w:rPr>
        <w:t xml:space="preserve">Product Engineering &amp; CX: </w:t>
      </w:r>
      <w:r>
        <w:t>Overhaul the digital self-service portal and mobile app to simplify Wi-Fi configuration and fiber setup; introduce real-time line speed testing to eliminate the perception of sluggish performance.</w:t>
      </w:r>
    </w:p>
    <w:p>
      <w:pPr>
        <w:pStyle w:val="ListBullet"/>
        <w:spacing w:before="40" w:after="60"/>
      </w:pPr>
      <w:r>
        <w:rPr>
          <w:b/>
          <w:color w:val="2C5282"/>
        </w:rPr>
        <w:t xml:space="preserve">Customer Success &amp; Support: </w:t>
      </w:r>
      <w:r>
        <w:t>Implement automated alerts triggering VIP phone outreach whenever a high-spend customer (Quadrant I) submits a service ticket; proactively enroll new fiber accounts into the 90-day onboarding check-in cadence.</w:t>
      </w:r>
    </w:p>
    <w:p>
      <w:pPr>
        <w:pStyle w:val="ListBullet"/>
        <w:spacing w:before="40" w:after="60"/>
      </w:pPr>
      <w:r>
        <w:rPr>
          <w:b/>
          <w:color w:val="2C5282"/>
        </w:rPr>
        <w:t xml:space="preserve">Billing &amp; Finance: </w:t>
      </w:r>
      <w:r>
        <w:t>Eliminate paperless billing surcharges; automate payment decline retry logic with gentle SMS reminders before account suspension to avoid involuntary churn.</w:t>
      </w:r>
    </w:p>
    <w:p>
      <w:pPr>
        <w:spacing w:before="320" w:after="120"/>
      </w:pPr>
      <w:r>
        <w:rPr>
          <w:b/>
          <w:color w:val="1B365D"/>
          <w:sz w:val="30"/>
        </w:rPr>
        <w:t>7.0 LIMITATIONS, ETHICAL GOVERNANCE &amp; STRATEGIC HORIZON</w:t>
      </w:r>
    </w:p>
    <w:p>
      <w:pPr>
        <w:spacing w:before="0" w:after="120" w:line="276" w:lineRule="auto"/>
      </w:pPr>
      <w:r>
        <w:t>Ethical Safeguards &amp; Data Governance: While demographic profiling reveals that Senior Citizens face elevated churn risk (41.7%), algorithmic intervention systems must comply with fair treatment regulations. Senior accounts must never be subjected to predatory price escalations or automated service downgrades. Instead, senior cohorts should be provided with accessible, simplified billing and toll-free telephone support.</w:t>
        <w:br/>
        <w:br/>
        <w:t>Technical Retrospective: This deliverable demonstrates how data visualization transcends descriptive charting when embedded within a deliberate narrative architecture. By translating statistical distributions into dollarized risk, survival hazard curves, and actionable decision matrices, data science teams can directly influence executive strategy and protect enterprise valuation.</w:t>
      </w:r>
    </w:p>
    <w:p>
      <w:pPr>
        <w:spacing w:before="320" w:after="120"/>
      </w:pPr>
      <w:r>
        <w:rPr>
          <w:b/>
          <w:color w:val="1B365D"/>
          <w:sz w:val="30"/>
        </w:rPr>
        <w:t>APPENDIX: COMPLETE REPRODUCIBLE STORYTELLING SOURCE CODE</w:t>
      </w:r>
    </w:p>
    <w:p>
      <w:pPr>
        <w:spacing w:before="0" w:after="120" w:line="276" w:lineRule="auto"/>
      </w:pPr>
      <w:r>
        <w:t>The Python code snippet below demonstrates the core mathematical feature engineering and graphical rendering logic utilized for the five visual acts: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8" w:space="0" w:color="CBD5E0"/>
              <w:left w:val="single" w:sz="8" w:space="0" w:color="CBD5E0"/>
              <w:bottom w:val="single" w:sz="8" w:space="0" w:color="CBD5E0"/>
              <w:right w:val="single" w:sz="8" w:space="0" w:color="CBD5E0"/>
            </w:tcBorders>
          </w:tcPr>
          <w:p>
            <w:pPr>
              <w:spacing w:before="0" w:after="0" w:line="252" w:lineRule="auto"/>
            </w:pPr>
            <w:r>
              <w:rPr>
                <w:rFonts w:ascii="Consolas" w:hAnsi="Consolas"/>
                <w:color w:val="64748B"/>
                <w:sz w:val="17"/>
              </w:rPr>
              <w:t># [Python Storytelling Engine]</w:t>
              <w:br/>
            </w:r>
            <w:r>
              <w:rPr>
                <w:rFonts w:ascii="Consolas" w:hAnsi="Consolas"/>
                <w:color w:val="24292F"/>
                <w:sz w:val="17"/>
              </w:rPr>
              <w:t>"""</w:t>
              <w:br/>
              <w:t>Week 2: Advanced Data Visualization and Storytelling Pipeline</w:t>
              <w:br/>
              <w:t>Theme: The Retention Playbook - Reversing Silent Churn and Protecting Revenue</w:t>
              <w:br/>
              <w:t>Author: Data Science Team</w:t>
              <w:br/>
              <w:t>"""</w:t>
              <w:br/>
              <w:br/>
              <w:t>import os</w:t>
              <w:br/>
              <w:t>import sys</w:t>
              <w:br/>
              <w:t>import json</w:t>
              <w:br/>
              <w:t>import numpy as np</w:t>
              <w:br/>
              <w:t>import pandas as pd</w:t>
              <w:br/>
              <w:t>import matplotlib.pyplot as plt</w:t>
              <w:br/>
              <w:t>import matplotlib.ticker as ticker</w:t>
              <w:br/>
              <w:t>from matplotlib.patches import Patch</w:t>
              <w:br/>
              <w:t>import seaborn as sns</w:t>
              <w:br/>
              <w:br/>
              <w:t># Directory Paths</w:t>
              <w:br/>
              <w:t>BASE_DIR = r"C:\Users\A.BISWAL\.gemini\antigravity\scratch\week2_visualization_storytelling"</w:t>
              <w:br/>
              <w:t>DATA_DIR = os.path.join(BASE_DIR, "data")</w:t>
              <w:br/>
              <w:t>FIGURES_DIR = os.path.join(BASE_DIR, "figures")</w:t>
              <w:br/>
              <w:t>SCRIPTS_DIR = os.path.join(BASE_DIR, "scripts")</w:t>
              <w:br/>
              <w:t>SOURCE_DATA_PATH = r"C:\Users\A.BISWAL\.gemini\antigravity\scratch\week1_data_cleaning_eda\data\cleaned_telco_churn.csv"</w:t>
              <w:br/>
              <w:t>LOCAL_DATA_PATH = os.path.join(DATA_DIR, "storytelling_telco_data.csv")</w:t>
              <w:br/>
              <w:t>STORY_METRICS_PATH = os.path.join(DATA_DIR, "story_metrics.json")</w:t>
              <w:br/>
              <w:br/>
              <w:t>os.makedirs(DATA_DIR, exist_ok=True)</w:t>
              <w:br/>
              <w:t>os.makedirs(FIGURES_DIR, exist_ok=True)</w:t>
              <w:br/>
              <w:t>os.makedirs(SCRIPTS_DIR, exist_ok=True)</w:t>
              <w:br/>
              <w:br/>
              <w:t># Corporate Storytelling Aesthetic Configuration</w:t>
              <w:br/>
              <w:t>plt.style.use('seaborn-v0_8-whitegrid' if 'seaborn-v0_8-whitegrid' in plt.style.available else 'default')</w:t>
              <w:br/>
              <w:t>plt.rcParams['font.sans-serif'] = 'Arial'</w:t>
              <w:br/>
              <w:t>plt.rcParams['font.family'] = 'sans-serif'</w:t>
              <w:br/>
              <w:t>plt.rcParams['axes.edgecolor'] = '#CBD5E0'</w:t>
              <w:br/>
              <w:t>plt.rcParams['axes.linewidth'] = 0.9</w:t>
              <w:br/>
              <w:br/>
              <w:t># Color Palette Definitions (Cognitive Semantic Palette)</w:t>
              <w:br/>
              <w:t>COLOR_PRIMARY_NAVY = "#1B365D"  # Deep Corporate Navy</w:t>
              <w:br/>
              <w:t>COLOR_RETAINED = "#1B365D"       # Deep Navy (Stability, Trust)</w:t>
              <w:br/>
              <w:t>COLOR_CHURN = "#D9381E"          # Alert Crimson (Risk, Loss, Urgency)</w:t>
              <w:br/>
              <w:t>COLOR_ACCENT_TEAL = "#0D9488"    # Emerald / Teal (Opportunity, Growth)</w:t>
              <w:br/>
              <w:t>COLOR_ACCENT_AMBER = "#D97706"   # Amber / Gold (Warning, Transition)</w:t>
              <w:br/>
              <w:t>COLOR_NEUTRAL_LIGHT = "#F8FAFC"  # Soft background</w:t>
              <w:br/>
              <w:t>COLOR_TEXT_DARK = "#1E293B"      # Slate Charcoal body</w:t>
              <w:br/>
              <w:t>COLOR_MUTED = "#64748B"          # Slate grey caption/axis</w:t>
              <w:br/>
              <w:br/>
              <w:br/>
              <w:t>def load_and_engineer_features():</w:t>
              <w:br/>
              <w:t xml:space="preserve">    """Loads cleaned dataset and engineers narrative storytelling features."""</w:t>
              <w:br/>
              <w:t xml:space="preserve">    print("[*] Loading cleaned dataset and engineering storytelling dimensions...")</w:t>
              <w:br/>
              <w:t xml:space="preserve">    df = pd.read_csv(SOURCE_DATA_PATH)</w:t>
              <w:br/>
              <w:t xml:space="preserve">    </w:t>
              <w:br/>
              <w:t xml:space="preserve">    # 1. Financial Storytelling Features</w:t>
              <w:br/>
              <w:t xml:space="preserve">    # Annual Recurring Revenue (ARR) per customer</w:t>
              <w:br/>
              <w:t xml:space="preserve">    df["ARR"] = df["MonthlyCharges"] * 12.0</w:t>
              <w:br/>
              <w:t xml:space="preserve">    </w:t>
              <w:br/>
              <w:t xml:space="preserve">    # Customer Lifetime Value (CLV) proxy:</w:t>
              <w:br/>
              <w:t xml:space="preserve">    # Historical realized spend + Expected forward value discounted by tenure &amp; contract stability</w:t>
              <w:br/>
              <w:t xml:space="preserve">    contract_retention_multiplier = df["Contract"].map({</w:t>
              <w:br/>
              <w:t xml:space="preserve">        "Month-to-month": 1.2,</w:t>
              <w:br/>
              <w:t xml:space="preserve">        "One year": 2.2,</w:t>
              <w:br/>
              <w:t xml:space="preserve">        "Two year": 3.5</w:t>
              <w:br/>
              <w:t xml:space="preserve">    })</w:t>
              <w:br/>
              <w:t xml:space="preserve">    df["Estimated_CLV"] = df["TotalCharges"] + (df["ARR"] * contract_retention_multiplier)</w:t>
              <w:br/>
              <w:t xml:space="preserve">    </w:t>
              <w:br/>
              <w:t xml:space="preserve">    # 2. Risk Scoring &amp; Hazard Probability Proxy</w:t>
              <w:br/>
              <w:t xml:space="preserve">    # High monthly charge + Month-to-month + Fiber without support = High Risk Score</w:t>
              <w:br/>
              <w:t xml:space="preserve">    risk_score = (</w:t>
              <w:br/>
              <w:t xml:space="preserve">        (df["Contract"] == "Month-to-month").astype(int) * 35 +</w:t>
              <w:br/>
              <w:t xml:space="preserve">        (df["PaymentMethod"] == "Electronic check").astype(int) * 20 +</w:t>
              <w:br/>
              <w:t xml:space="preserve">        (df["InternetService"] == "Fiber optic").astype(int) * 20 +</w:t>
              <w:br/>
              <w:t xml:space="preserve">        (df["TechSupport"] == "No").astype(int) * 15 +</w:t>
              <w:br/>
              <w:t xml:space="preserve">        (df["tenure"] &lt;= 6).astype(int) * 25</w:t>
              <w:br/>
              <w:t xml:space="preserve">    )</w:t>
              <w:br/>
              <w:t xml:space="preserve">    df["Churn_Risk_Score"] = np.clip(risk_score, 5, 98)</w:t>
              <w:br/>
              <w:t xml:space="preserve">    </w:t>
              <w:br/>
              <w:t xml:space="preserve">    # Save local copy</w:t>
              <w:br/>
              <w:t xml:space="preserve">    df.to_csv(LOCAL_DATA_PATH, index=False)</w:t>
              <w:br/>
              <w:t xml:space="preserve">    print(f"[+] Loaded {len(df)} records. Successfully engineered ARR, Estimated_CLV, and Churn_Risk_Score.")</w:t>
              <w:br/>
              <w:t xml:space="preserve">    return df</w:t>
              <w:br/>
              <w:br/>
              <w:br/>
              <w:t>def generate_story_metrics(df):</w:t>
              <w:br/>
              <w:t xml:space="preserve">    """Computes headline financial and narrative statistics."""</w:t>
              <w:br/>
              <w:t xml:space="preserve">    total_customers = len(df)</w:t>
              <w:br/>
              <w:t xml:space="preserve">    churn_customers = df[df["Churn"] == "Yes"]</w:t>
              <w:br/>
              <w:t xml:space="preserve">    retained_customers = df[df["Churn"] == "No"]</w:t>
              <w:br/>
              <w:t xml:space="preserve">    </w:t>
              <w:br/>
              <w:t xml:space="preserve">    total_arr = df</w:t>
              <w:br/>
              <w:br/>
              <w:t># ... [Full script persisted in scripts/storytelling_visualizations.py] ...</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