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40"/>
      </w:pPr>
      <w:r>
        <w:rPr>
          <w:rFonts w:ascii="Arial" w:hAnsi="Arial"/>
          <w:b/>
          <w:color w:val="1B365D"/>
          <w:sz w:val="48"/>
        </w:rPr>
        <w:t>ENTERPRISE DATA SCIENCE CAPSTONE PROJECT REPORT</w:t>
      </w:r>
    </w:p>
    <w:p>
      <w:pPr>
        <w:spacing w:before="0" w:after="280"/>
      </w:pPr>
      <w:r>
        <w:rPr>
          <w:rFonts w:ascii="Arial" w:hAnsi="Arial"/>
          <w:i/>
          <w:color w:val="2C5282"/>
          <w:sz w:val="25"/>
        </w:rPr>
        <w:t>The Retention Playbook: End-to-End Predictive Analytics, Statistical Verification, and Strategic Revenue Defense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B365D"/>
            <w:tcMar>
              <w:top w:w="100" w:type="dxa"/>
              <w:bottom w:w="100" w:type="dxa"/>
              <w:left w:w="120" w:type="dxa"/>
              <w:right w:w="120" w:type="dxa"/>
            </w:tcMar>
          </w:tcPr>
          <w:p>
            <w:pPr>
              <w:jc w:val="left"/>
            </w:pPr>
            <w:r>
              <w:rPr>
                <w:rFonts w:ascii="Arial" w:hAnsi="Arial"/>
                <w:b/>
                <w:color w:val="FFFFFF"/>
                <w:sz w:val="19"/>
              </w:rPr>
              <w:t>Project Track</w:t>
            </w:r>
          </w:p>
        </w:tc>
        <w:tc>
          <w:tcPr>
            <w:tcW w:type="dxa" w:w="2304"/>
            <w:shd w:fill="1B365D"/>
            <w:tcMar>
              <w:top w:w="100" w:type="dxa"/>
              <w:bottom w:w="100" w:type="dxa"/>
              <w:left w:w="120" w:type="dxa"/>
              <w:right w:w="120" w:type="dxa"/>
            </w:tcMar>
          </w:tcPr>
          <w:p>
            <w:pPr>
              <w:jc w:val="left"/>
            </w:pPr>
            <w:r>
              <w:rPr>
                <w:rFonts w:ascii="Arial" w:hAnsi="Arial"/>
                <w:b/>
                <w:color w:val="FFFFFF"/>
                <w:sz w:val="19"/>
              </w:rPr>
              <w:t>Portfolio Analyzed</w:t>
            </w:r>
          </w:p>
        </w:tc>
        <w:tc>
          <w:tcPr>
            <w:tcW w:type="dxa" w:w="2304"/>
            <w:shd w:fill="1B365D"/>
            <w:tcMar>
              <w:top w:w="100" w:type="dxa"/>
              <w:bottom w:w="100" w:type="dxa"/>
              <w:left w:w="120" w:type="dxa"/>
              <w:right w:w="120" w:type="dxa"/>
            </w:tcMar>
          </w:tcPr>
          <w:p>
            <w:pPr>
              <w:jc w:val="left"/>
            </w:pPr>
            <w:r>
              <w:rPr>
                <w:rFonts w:ascii="Arial" w:hAnsi="Arial"/>
                <w:b/>
                <w:color w:val="FFFFFF"/>
                <w:sz w:val="19"/>
              </w:rPr>
              <w:t>Analytical Modules</w:t>
            </w:r>
          </w:p>
        </w:tc>
        <w:tc>
          <w:tcPr>
            <w:tcW w:type="dxa" w:w="2448"/>
            <w:shd w:fill="1B365D"/>
            <w:tcMar>
              <w:top w:w="100" w:type="dxa"/>
              <w:bottom w:w="100" w:type="dxa"/>
              <w:left w:w="120" w:type="dxa"/>
              <w:right w:w="120" w:type="dxa"/>
            </w:tcMar>
          </w:tcPr>
          <w:p>
            <w:pPr>
              <w:jc w:val="left"/>
            </w:pPr>
            <w:r>
              <w:rPr>
                <w:rFonts w:ascii="Arial" w:hAnsi="Arial"/>
                <w:b/>
                <w:color w:val="FFFFFF"/>
                <w:sz w:val="19"/>
              </w:rPr>
              <w:t>Commercial Outcome</w:t>
            </w:r>
          </w:p>
        </w:tc>
      </w:tr>
      <w:tr>
        <w:tc>
          <w:tcPr>
            <w:tcW w:type="dxa" w:w="2340"/>
          </w:tcPr>
          <w:p/>
        </w:tc>
        <w:tc>
          <w:tcPr>
            <w:tcW w:type="dxa" w:w="2340"/>
          </w:tcPr>
          <w:p/>
        </w:tc>
        <w:tc>
          <w:tcPr>
            <w:tcW w:type="dxa" w:w="2340"/>
          </w:tcPr>
          <w:p/>
        </w:tc>
        <w:tc>
          <w:tcPr>
            <w:tcW w:type="dxa" w:w="2340"/>
          </w:tcPr>
          <w:p/>
        </w:tc>
      </w:tr>
      <w:tr>
        <w:tc>
          <w:tcPr>
            <w:tcW w:type="dxa" w:w="230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Data Science Capstone</w:t>
            </w:r>
          </w:p>
        </w:tc>
        <w:tc>
          <w:tcPr>
            <w:tcW w:type="dxa" w:w="230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7,043 Customer Accounts</w:t>
            </w:r>
          </w:p>
        </w:tc>
        <w:tc>
          <w:tcPr>
            <w:tcW w:type="dxa" w:w="230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5 Integrated Modules</w:t>
            </w:r>
          </w:p>
        </w:tc>
        <w:tc>
          <w:tcPr>
            <w:tcW w:type="dxa" w:w="244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+$1.155M Net 1-Yr ARR Protected</w:t>
            </w:r>
          </w:p>
        </w:tc>
      </w:tr>
    </w:tbl>
    <w:p>
      <w:pPr>
        <w:spacing w:before="240" w:after="240"/>
      </w:pPr>
    </w:p>
    <w:p>
      <w:pPr>
        <w:spacing w:before="280" w:after="120"/>
      </w:pPr>
      <w:r>
        <w:rPr>
          <w:b/>
          <w:color w:val="1B365D"/>
          <w:sz w:val="30"/>
        </w:rPr>
        <w:t>EXECUTIVE SUMMARY: THE ENTERPRISE DATA SCIENCE TRANSFORMATION</w:t>
      </w:r>
    </w:p>
    <w:p>
      <w:pPr>
        <w:spacing w:before="0" w:after="120" w:line="276" w:lineRule="auto"/>
      </w:pPr>
      <w:r>
        <w:t>Subscription-based business models represent the bedrock of the modern digital economy. However, sustaining profitable growth requires continuous defense against customer attrition. In recurring revenue ecosystems, acquiring a replacement customer costs 5 to 7 times more than retaining an existing account. This Capstone Project Report documents the complete five-week data science transformation executed on an enterprise telecommunications portfolio comprising 7,043 subscriber accounts and over $5.47 million in annual recurring revenue (ARR).</w:t>
        <w:br/>
        <w:br/>
        <w:t>By systematically progressing through data engineering, cognitive visual storytelling, inferential hypothesis testing, and predictive machine learning, this initiative transformed raw transactional data into an executive decision engine:</w:t>
        <w:br/>
        <w:t>1. Forensic Data Integrity: Resolved critical data flaws, including 11 whitespace-corrupted financial records, establishing 100% complete, verified telemetry.</w:t>
        <w:br/>
        <w:t>2. The $1.67M Revenue Vulnerability: Uncovered that 30.5% of total subscription ARR is leaking through uncommitted month-to-month contracts and manual electronic checks.</w:t>
        <w:br/>
        <w:t>3. Mathematical Causality &amp; Risk Multipliers: Inferential testing proved that Month-to-Month contracts multiply churn odds by 5.96x (p &lt; 0.001), while providing Tech Support to Fiber Optic subscribers slashes defection odds by 3.33x (p &lt; 0.001).</w:t>
        <w:br/>
        <w:t>4. Machine Learning &amp; Asymmetric Cost Optimization: Developed four predictive models, crowned Gradient Boosting (ROC-AUC = 0.8439) as champion, and optimized classification thresholds to cut commercial losses by 43.5%, saving $82,560 on the test cohort alone.</w:t>
        <w:br/>
        <w:t>5. The Enterprise Strategic Playbook: Formulated four departmental mandates and an ROI model demonstrating that a $220,000 targeted retention investment will protect $1.375 million in ARR annually—delivering a +525% net ROI with a payback period of only 1.9 months.</w:t>
      </w:r>
    </w:p>
    <w:p>
      <w:pPr>
        <w:spacing w:before="320" w:after="120"/>
      </w:pPr>
      <w:r>
        <w:rPr>
          <w:b/>
          <w:color w:val="1B365D"/>
          <w:sz w:val="30"/>
        </w:rPr>
        <w:t>1.0 PROJECT BACKGROUND &amp; COMMERCIAL PROBLEM FORMULATION</w:t>
      </w:r>
    </w:p>
    <w:p>
      <w:pPr>
        <w:spacing w:before="0" w:after="120" w:line="276" w:lineRule="auto"/>
      </w:pPr>
      <w:r>
        <w:t>Modern telecommunications enterprises operate in intensely saturated, hyper-competitive markets. As broadband penetration reaches maturity, top-line expansion is dictated primarily by customer lifetime value (CLV) maximization and net revenue retention (NRR). The portfolio under investigation encompasses 7,043 subscriber accounts generating $456,116 in monthly recurring charges ($5.47M ARR). The overall baseline churn rate stands at 26.54% (1,869 churned accounts), representing an annual top-line attrition loss of $1,669,570.</w:t>
        <w:br/>
        <w:br/>
        <w:t>To reverse this deficit, a five-stage data science lifecycle was formulated:</w:t>
      </w:r>
    </w:p>
    <w:p>
      <w:pPr>
        <w:pStyle w:val="ListBullet"/>
        <w:spacing w:before="0" w:after="40"/>
      </w:pPr>
      <w:r>
        <w:rPr>
          <w:b/>
          <w:color w:val="2C5282"/>
        </w:rPr>
        <w:t xml:space="preserve">Phase 1 — Data Acquisition &amp; Forensic Cleaning (Week 1): </w:t>
      </w:r>
      <w:r>
        <w:t>Establish automated data provenance, inspect structural schema, resolve subtle null values, and standardize encodings.</w:t>
      </w:r>
    </w:p>
    <w:p>
      <w:pPr>
        <w:pStyle w:val="ListBullet"/>
        <w:spacing w:before="0" w:after="40"/>
      </w:pPr>
      <w:r>
        <w:rPr>
          <w:b/>
          <w:color w:val="2C5282"/>
        </w:rPr>
        <w:t xml:space="preserve">Phase 2 — Visual Storytelling &amp; Exploratory Analysis (Week 2): </w:t>
      </w:r>
      <w:r>
        <w:t>Construct a 5-act narrative arc communicating complex distributional hazard curves and persona archetypes to non-technical executives.</w:t>
      </w:r>
    </w:p>
    <w:p>
      <w:pPr>
        <w:pStyle w:val="ListBullet"/>
        <w:spacing w:before="0" w:after="40"/>
      </w:pPr>
      <w:r>
        <w:rPr>
          <w:b/>
          <w:color w:val="2C5282"/>
        </w:rPr>
        <w:t xml:space="preserve">Phase 3 — Inferential Hypothesis Testing (Week 3): </w:t>
      </w:r>
      <w:r>
        <w:t>Apply parametric and non-parametric estimators to mathematically validate pricing sensitivity, contract longevity, and service support shields.</w:t>
      </w:r>
    </w:p>
    <w:p>
      <w:pPr>
        <w:pStyle w:val="ListBullet"/>
        <w:spacing w:before="0" w:after="40"/>
      </w:pPr>
      <w:r>
        <w:rPr>
          <w:b/>
          <w:color w:val="2C5282"/>
        </w:rPr>
        <w:t xml:space="preserve">Phase 4 — Machine Learning &amp; Cost Optimization (Week 4): </w:t>
      </w:r>
      <w:r>
        <w:t>Benchmark four classification algorithms, evaluate models under class imbalance, and optimize decision thresholds for asymmetric financial loss.</w:t>
      </w:r>
    </w:p>
    <w:p>
      <w:pPr>
        <w:pStyle w:val="ListBullet"/>
        <w:spacing w:before="0" w:after="40"/>
      </w:pPr>
      <w:r>
        <w:rPr>
          <w:b/>
          <w:color w:val="2C5282"/>
        </w:rPr>
        <w:t xml:space="preserve">Phase 5 — Executive Synthesis &amp; Strategic Recommendations (Week 5): </w:t>
      </w:r>
      <w:r>
        <w:t>Synthesize findings into cross-functional departmental playbooks, financial ROI pro-formas, and ethical AI governance protocols.</w:t>
      </w:r>
    </w:p>
    <w:p>
      <w:pPr>
        <w:spacing w:before="320" w:after="120"/>
      </w:pPr>
      <w:r>
        <w:rPr>
          <w:b/>
          <w:color w:val="1B365D"/>
          <w:sz w:val="30"/>
        </w:rPr>
        <w:t>2.0 DATA ENGINEERING, FORENSIC CLEANING &amp; PROVENANCE (WEEK 1)</w:t>
      </w:r>
    </w:p>
    <w:p>
      <w:pPr>
        <w:spacing w:before="0" w:after="120" w:line="276" w:lineRule="auto"/>
      </w:pPr>
      <w:r>
        <w:t>A foundational insight of professional data science is that algorithmic excellence cannot rescue corrupted input data. During Phase 1, automated data auditing of the 7,043 raw records revealed a severe, hidden data pathology: while standard automated checks (df.isnull().sum()) reported exactly zero missing values, the TotalCharges column was ingested as an object (string) data type. Forensic string auditing identified 11 records containing pure whitespace characters (' ').</w:t>
        <w:br/>
        <w:br/>
        <w:t>A naive data cleaning approach would either delete these 11 rows or impute them with the overall mean ($2,283.30). However, cross-feature inspection proved that all 11 records had tenure == 0. These accounts were brand new subscribers who enrolled during the current billing cycle and had not yet completed their first billing month. Setting TotalCharges = 0.0 accurately captured commercial reality without contaminating newborn accounts with phantom historical spend or biasing contract acquisition metrics.</w:t>
      </w:r>
    </w:p>
    <w:p>
      <w:pPr>
        <w:spacing w:before="160" w:after="80"/>
        <w:jc w:val="center"/>
      </w:pPr>
      <w:r>
        <w:drawing>
          <wp:inline xmlns:a="http://schemas.openxmlformats.org/drawingml/2006/main" xmlns:pic="http://schemas.openxmlformats.org/drawingml/2006/picture">
            <wp:extent cx="5669280" cy="2357785"/>
            <wp:docPr id="1" name="Picture 1"/>
            <wp:cNvGraphicFramePr>
              <a:graphicFrameLocks noChangeAspect="1"/>
            </wp:cNvGraphicFramePr>
            <a:graphic>
              <a:graphicData uri="http://schemas.openxmlformats.org/drawingml/2006/picture">
                <pic:pic>
                  <pic:nvPicPr>
                    <pic:cNvPr id="0" name="capstone_fig1_data_cleaning_audit.png"/>
                    <pic:cNvPicPr/>
                  </pic:nvPicPr>
                  <pic:blipFill>
                    <a:blip r:embed="rId9"/>
                    <a:stretch>
                      <a:fillRect/>
                    </a:stretch>
                  </pic:blipFill>
                  <pic:spPr>
                    <a:xfrm>
                      <a:off x="0" y="0"/>
                      <a:ext cx="5669280" cy="2357785"/>
                    </a:xfrm>
                    <a:prstGeom prst="rect"/>
                  </pic:spPr>
                </pic:pic>
              </a:graphicData>
            </a:graphic>
          </wp:inline>
        </w:drawing>
      </w:r>
    </w:p>
    <w:p>
      <w:pPr>
        <w:spacing w:after="160"/>
        <w:jc w:val="center"/>
      </w:pPr>
      <w:r>
        <w:rPr>
          <w:i/>
          <w:color w:val="64748B"/>
          <w:sz w:val="18"/>
        </w:rPr>
        <w:t>Figure 1: Pre-Cleaning Whitespace Detection Audit and Post-Cleaning Data Completeness Matrix.</w:t>
      </w:r>
    </w:p>
    <w:tbl>
      <w:tblPr>
        <w:tblW w:type="auto" w:w="0"/>
        <w:jc w:val="center"/>
        <w:tblLayout w:type="fixed"/>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top w:val="none"/>
              <w:left w:val="single" w:sz="36" w:space="0" w:color="1B365D"/>
              <w:bottom w:val="none"/>
              <w:right w:val="none"/>
            </w:tcBorders>
          </w:tcPr>
          <w:p>
            <w:pPr>
              <w:spacing w:before="0" w:after="80"/>
            </w:pPr>
            <w:r>
              <w:rPr>
                <w:rFonts w:ascii="Arial" w:hAnsi="Arial"/>
                <w:b/>
                <w:color w:val="1B365D"/>
                <w:sz w:val="20"/>
              </w:rPr>
              <w:t>[RATIONALE] DATA ENGINEERING METHODOLOGICAL JUSTIFICATION</w:t>
              <w:br/>
            </w:r>
            <w:r>
              <w:rPr>
                <w:rFonts w:ascii="Arial" w:hAnsi="Arial"/>
                <w:i/>
                <w:color w:val="1E293B"/>
                <w:sz w:val="19"/>
              </w:rPr>
              <w:t>By resolving the 11 hidden whitespace nulls with zero-tenure domain logic, standardizing SeniorCitizen from (0, 1) to ('No', 'Yes'), and evaluating continuous distributions against Tukey's Fences (Q1 - 1.5*IQR, Q3 + 1.5*IQR), we achieved 100.0% data completeness across all 21 columns without deleting a single customer observation.</w:t>
            </w:r>
          </w:p>
        </w:tc>
      </w:tr>
    </w:tbl>
    <w:p>
      <w:pPr>
        <w:spacing w:before="0" w:after="80"/>
      </w:pPr>
    </w:p>
    <w:p>
      <w:pPr>
        <w:spacing w:before="320" w:after="120"/>
      </w:pPr>
      <w:r>
        <w:rPr>
          <w:b/>
          <w:color w:val="1B365D"/>
          <w:sz w:val="30"/>
        </w:rPr>
        <w:t>3.0 ADVANCED EXPLORATORY ANALYSIS &amp; VISUAL STORYTELLING (WEEK 2)</w:t>
      </w:r>
    </w:p>
    <w:p>
      <w:pPr>
        <w:spacing w:before="0" w:after="120" w:line="276" w:lineRule="auto"/>
      </w:pPr>
      <w:r>
        <w:t>To communicate complex multi-modal customer telemetry to C-level executives, Phase 2 constructed 'The Retention Playbook'—a five-act narrative arc engineered using pre-attentive visual attributes (color semantics, Gestalt enclosure, Tufte data-ink maximization):</w:t>
        <w:br/>
        <w:br/>
        <w:t>• Act I (The Macro Revenue Leak): Discovered that Month-to-month contracts leak $1.53 million in ARR (45.5% attrition), while manual electronic check billing drives $0.85M in churned revenue (Figure 2).</w:t>
        <w:br/>
        <w:t>• Act II (The Vulnerability Clock): Longitudinal Kaplan-Meier survival modeling revealed an acute 'Onboarding Cliff' in months 1 through 6, where 38.0% of all customer defection occurs. Instantaneous monthly hazard spikes to 11.4% in month 1 due to setup friction, but plummets after month 20 (Figure 3).</w:t>
        <w:br/>
        <w:t>• Act III (The Tech Paradox): Solved an operational mystery: why flagship, high-speed Fiber Optic internet ($91.50/mo) suffers double the churn of legacy DSL (41.9% vs 19.0%). Proved that unassisted fiber users churn at 53.6%, but bundling Tech Support and Online Security drops churn to 18.2% (a 66% relative reduction) (Figure 4).</w:t>
        <w:br/>
        <w:t>• Act IV (Customer Personas): Polar radar profiling contrasted 'The High-Risk Newbie' (62.4% churn) against 'The Enterprise Family Anchor' (3.1% churn) (Figure 5).</w:t>
      </w:r>
    </w:p>
    <w:p>
      <w:pPr>
        <w:spacing w:before="160" w:after="80"/>
        <w:jc w:val="center"/>
      </w:pPr>
      <w:r>
        <w:drawing>
          <wp:inline xmlns:a="http://schemas.openxmlformats.org/drawingml/2006/main" xmlns:pic="http://schemas.openxmlformats.org/drawingml/2006/picture">
            <wp:extent cx="5669280" cy="2432054"/>
            <wp:docPr id="2" name="Picture 2"/>
            <wp:cNvGraphicFramePr>
              <a:graphicFrameLocks noChangeAspect="1"/>
            </wp:cNvGraphicFramePr>
            <a:graphic>
              <a:graphicData uri="http://schemas.openxmlformats.org/drawingml/2006/picture">
                <pic:pic>
                  <pic:nvPicPr>
                    <pic:cNvPr id="0" name="capstone_fig2_macro_revenue_leak.png"/>
                    <pic:cNvPicPr/>
                  </pic:nvPicPr>
                  <pic:blipFill>
                    <a:blip r:embed="rId10"/>
                    <a:stretch>
                      <a:fillRect/>
                    </a:stretch>
                  </pic:blipFill>
                  <pic:spPr>
                    <a:xfrm>
                      <a:off x="0" y="0"/>
                      <a:ext cx="5669280" cy="2432054"/>
                    </a:xfrm>
                    <a:prstGeom prst="rect"/>
                  </pic:spPr>
                </pic:pic>
              </a:graphicData>
            </a:graphic>
          </wp:inline>
        </w:drawing>
      </w:r>
    </w:p>
    <w:p>
      <w:pPr>
        <w:spacing w:after="160"/>
        <w:jc w:val="center"/>
      </w:pPr>
      <w:r>
        <w:rPr>
          <w:i/>
          <w:color w:val="64748B"/>
          <w:sz w:val="18"/>
        </w:rPr>
        <w:t>Figure 2: Act I — Portfolio ARR Exposure by Contract Horizon and Payment Channel.</w:t>
      </w:r>
    </w:p>
    <w:p>
      <w:pPr>
        <w:spacing w:before="160" w:after="80"/>
        <w:jc w:val="center"/>
      </w:pPr>
      <w:r>
        <w:drawing>
          <wp:inline xmlns:a="http://schemas.openxmlformats.org/drawingml/2006/main" xmlns:pic="http://schemas.openxmlformats.org/drawingml/2006/picture">
            <wp:extent cx="5669280" cy="3669129"/>
            <wp:docPr id="3" name="Picture 3"/>
            <wp:cNvGraphicFramePr>
              <a:graphicFrameLocks noChangeAspect="1"/>
            </wp:cNvGraphicFramePr>
            <a:graphic>
              <a:graphicData uri="http://schemas.openxmlformats.org/drawingml/2006/picture">
                <pic:pic>
                  <pic:nvPicPr>
                    <pic:cNvPr id="0" name="capstone_fig3_survival_hazard_curve.png"/>
                    <pic:cNvPicPr/>
                  </pic:nvPicPr>
                  <pic:blipFill>
                    <a:blip r:embed="rId11"/>
                    <a:stretch>
                      <a:fillRect/>
                    </a:stretch>
                  </pic:blipFill>
                  <pic:spPr>
                    <a:xfrm>
                      <a:off x="0" y="0"/>
                      <a:ext cx="5669280" cy="3669129"/>
                    </a:xfrm>
                    <a:prstGeom prst="rect"/>
                  </pic:spPr>
                </pic:pic>
              </a:graphicData>
            </a:graphic>
          </wp:inline>
        </w:drawing>
      </w:r>
    </w:p>
    <w:p>
      <w:pPr>
        <w:spacing w:after="160"/>
        <w:jc w:val="center"/>
      </w:pPr>
      <w:r>
        <w:rPr>
          <w:i/>
          <w:color w:val="64748B"/>
          <w:sz w:val="18"/>
        </w:rPr>
        <w:t>Figure 3: Act II — Kaplan-Meier Longitudinal Survival Curve &amp; Instantaneous Monthly Hazard Rate.</w:t>
      </w:r>
    </w:p>
    <w:p>
      <w:pPr>
        <w:spacing w:before="160" w:after="80"/>
        <w:jc w:val="center"/>
      </w:pPr>
      <w:r>
        <w:drawing>
          <wp:inline xmlns:a="http://schemas.openxmlformats.org/drawingml/2006/main" xmlns:pic="http://schemas.openxmlformats.org/drawingml/2006/picture">
            <wp:extent cx="5669280" cy="2418488"/>
            <wp:docPr id="4" name="Picture 4"/>
            <wp:cNvGraphicFramePr>
              <a:graphicFrameLocks noChangeAspect="1"/>
            </wp:cNvGraphicFramePr>
            <a:graphic>
              <a:graphicData uri="http://schemas.openxmlformats.org/drawingml/2006/picture">
                <pic:pic>
                  <pic:nvPicPr>
                    <pic:cNvPr id="0" name="capstone_fig4_fiber_support_shield.png"/>
                    <pic:cNvPicPr/>
                  </pic:nvPicPr>
                  <pic:blipFill>
                    <a:blip r:embed="rId12"/>
                    <a:stretch>
                      <a:fillRect/>
                    </a:stretch>
                  </pic:blipFill>
                  <pic:spPr>
                    <a:xfrm>
                      <a:off x="0" y="0"/>
                      <a:ext cx="5669280" cy="2418488"/>
                    </a:xfrm>
                    <a:prstGeom prst="rect"/>
                  </pic:spPr>
                </pic:pic>
              </a:graphicData>
            </a:graphic>
          </wp:inline>
        </w:drawing>
      </w:r>
    </w:p>
    <w:p>
      <w:pPr>
        <w:spacing w:after="160"/>
        <w:jc w:val="center"/>
      </w:pPr>
      <w:r>
        <w:rPr>
          <w:i/>
          <w:color w:val="64748B"/>
          <w:sz w:val="18"/>
        </w:rPr>
        <w:t>Figure 4: Act III — The Fiber Optic Tech Paradox and Value-Add Support Shield.</w:t>
      </w:r>
    </w:p>
    <w:p>
      <w:pPr>
        <w:spacing w:before="160" w:after="80"/>
        <w:jc w:val="center"/>
      </w:pPr>
      <w:r>
        <w:drawing>
          <wp:inline xmlns:a="http://schemas.openxmlformats.org/drawingml/2006/main" xmlns:pic="http://schemas.openxmlformats.org/drawingml/2006/picture">
            <wp:extent cx="5669280" cy="2563467"/>
            <wp:docPr id="5" name="Picture 5"/>
            <wp:cNvGraphicFramePr>
              <a:graphicFrameLocks noChangeAspect="1"/>
            </wp:cNvGraphicFramePr>
            <a:graphic>
              <a:graphicData uri="http://schemas.openxmlformats.org/drawingml/2006/picture">
                <pic:pic>
                  <pic:nvPicPr>
                    <pic:cNvPr id="0" name="capstone_fig5_customer_persona_radar.png"/>
                    <pic:cNvPicPr/>
                  </pic:nvPicPr>
                  <pic:blipFill>
                    <a:blip r:embed="rId13"/>
                    <a:stretch>
                      <a:fillRect/>
                    </a:stretch>
                  </pic:blipFill>
                  <pic:spPr>
                    <a:xfrm>
                      <a:off x="0" y="0"/>
                      <a:ext cx="5669280" cy="2563467"/>
                    </a:xfrm>
                    <a:prstGeom prst="rect"/>
                  </pic:spPr>
                </pic:pic>
              </a:graphicData>
            </a:graphic>
          </wp:inline>
        </w:drawing>
      </w:r>
    </w:p>
    <w:p>
      <w:pPr>
        <w:spacing w:after="160"/>
        <w:jc w:val="center"/>
      </w:pPr>
      <w:r>
        <w:rPr>
          <w:i/>
          <w:color w:val="64748B"/>
          <w:sz w:val="18"/>
        </w:rPr>
        <w:t>Figure 5: Act IV — Multi-Dimensional Behavioral Radar Profiling 4 Strategic Customer Archetypes.</w:t>
      </w:r>
    </w:p>
    <w:p>
      <w:pPr>
        <w:spacing w:before="320" w:after="120"/>
      </w:pPr>
      <w:r>
        <w:rPr>
          <w:b/>
          <w:color w:val="1B365D"/>
          <w:sz w:val="30"/>
        </w:rPr>
        <w:t>4.0 INFERENTIAL STATISTICS &amp; HYPOTHESIS TESTING (WEEK 3)</w:t>
      </w:r>
    </w:p>
    <w:p>
      <w:pPr>
        <w:spacing w:before="0" w:after="120" w:line="276" w:lineRule="auto"/>
      </w:pPr>
      <w:r>
        <w:t>In Phase 3, exploratory observations were subjected to formal inferential statistical testing (α = 0.05). Pre-flight assumption audits (Figure 6) revealed that Monthly Charges violates normality (D'Agostino-Pearson K² p &lt; 0.001) and homoscedasticity (Levene's test F = 9.87, p = 0.0017), while TotalCharges exhibits severe multicollinearity (VIF = 9.75) with tenure (VIF = 6.88). These audits dictated the selection of robust parametric and non-parametric tests:</w:t>
      </w:r>
    </w:p>
    <w:p>
      <w:pPr>
        <w:spacing w:before="160" w:after="80"/>
        <w:jc w:val="center"/>
      </w:pPr>
      <w:r>
        <w:drawing>
          <wp:inline xmlns:a="http://schemas.openxmlformats.org/drawingml/2006/main" xmlns:pic="http://schemas.openxmlformats.org/drawingml/2006/picture">
            <wp:extent cx="5669280" cy="1908776"/>
            <wp:docPr id="6" name="Picture 6"/>
            <wp:cNvGraphicFramePr>
              <a:graphicFrameLocks noChangeAspect="1"/>
            </wp:cNvGraphicFramePr>
            <a:graphic>
              <a:graphicData uri="http://schemas.openxmlformats.org/drawingml/2006/picture">
                <pic:pic>
                  <pic:nvPicPr>
                    <pic:cNvPr id="0" name="capstone_fig6_assumption_diagnostics.png"/>
                    <pic:cNvPicPr/>
                  </pic:nvPicPr>
                  <pic:blipFill>
                    <a:blip r:embed="rId14"/>
                    <a:stretch>
                      <a:fillRect/>
                    </a:stretch>
                  </pic:blipFill>
                  <pic:spPr>
                    <a:xfrm>
                      <a:off x="0" y="0"/>
                      <a:ext cx="5669280" cy="1908776"/>
                    </a:xfrm>
                    <a:prstGeom prst="rect"/>
                  </pic:spPr>
                </pic:pic>
              </a:graphicData>
            </a:graphic>
          </wp:inline>
        </w:drawing>
      </w:r>
    </w:p>
    <w:p>
      <w:pPr>
        <w:spacing w:after="160"/>
        <w:jc w:val="center"/>
      </w:pPr>
      <w:r>
        <w:rPr>
          <w:i/>
          <w:color w:val="64748B"/>
          <w:sz w:val="18"/>
        </w:rPr>
        <w:t>Figure 6: Statistical Assumption Diagnostic Suite — Normal Q-Q Plot, Levene's Test, and VIF Multicollinearity.</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fill="1B365D"/>
            <w:tcMar>
              <w:top w:w="100" w:type="dxa"/>
              <w:bottom w:w="100" w:type="dxa"/>
              <w:left w:w="120" w:type="dxa"/>
              <w:right w:w="120" w:type="dxa"/>
            </w:tcMar>
          </w:tcPr>
          <w:p>
            <w:pPr>
              <w:jc w:val="left"/>
            </w:pPr>
            <w:r>
              <w:rPr>
                <w:rFonts w:ascii="Arial" w:hAnsi="Arial"/>
                <w:b/>
                <w:color w:val="FFFFFF"/>
                <w:sz w:val="19"/>
              </w:rPr>
              <w:t>Test</w:t>
            </w:r>
          </w:p>
        </w:tc>
        <w:tc>
          <w:tcPr>
            <w:tcW w:type="dxa" w:w="2592"/>
            <w:shd w:fill="1B365D"/>
            <w:tcMar>
              <w:top w:w="100" w:type="dxa"/>
              <w:bottom w:w="100" w:type="dxa"/>
              <w:left w:w="120" w:type="dxa"/>
              <w:right w:w="120" w:type="dxa"/>
            </w:tcMar>
          </w:tcPr>
          <w:p>
            <w:pPr>
              <w:jc w:val="left"/>
            </w:pPr>
            <w:r>
              <w:rPr>
                <w:rFonts w:ascii="Arial" w:hAnsi="Arial"/>
                <w:b/>
                <w:color w:val="FFFFFF"/>
                <w:sz w:val="19"/>
              </w:rPr>
              <w:t>Phenomenon Evaluated</w:t>
            </w:r>
          </w:p>
        </w:tc>
        <w:tc>
          <w:tcPr>
            <w:tcW w:type="dxa" w:w="1584"/>
            <w:shd w:fill="1B365D"/>
            <w:tcMar>
              <w:top w:w="100" w:type="dxa"/>
              <w:bottom w:w="100" w:type="dxa"/>
              <w:left w:w="120" w:type="dxa"/>
              <w:right w:w="120" w:type="dxa"/>
            </w:tcMar>
          </w:tcPr>
          <w:p>
            <w:pPr>
              <w:jc w:val="right"/>
            </w:pPr>
            <w:r>
              <w:rPr>
                <w:rFonts w:ascii="Arial" w:hAnsi="Arial"/>
                <w:b/>
                <w:color w:val="FFFFFF"/>
                <w:sz w:val="19"/>
              </w:rPr>
              <w:t>Test Statistic</w:t>
            </w:r>
          </w:p>
        </w:tc>
        <w:tc>
          <w:tcPr>
            <w:tcW w:type="dxa" w:w="1440"/>
            <w:shd w:fill="1B365D"/>
            <w:tcMar>
              <w:top w:w="100" w:type="dxa"/>
              <w:bottom w:w="100" w:type="dxa"/>
              <w:left w:w="120" w:type="dxa"/>
              <w:right w:w="120" w:type="dxa"/>
            </w:tcMar>
          </w:tcPr>
          <w:p>
            <w:pPr>
              <w:jc w:val="right"/>
            </w:pPr>
            <w:r>
              <w:rPr>
                <w:rFonts w:ascii="Arial" w:hAnsi="Arial"/>
                <w:b/>
                <w:color w:val="FFFFFF"/>
                <w:sz w:val="19"/>
              </w:rPr>
              <w:t>p-Value</w:t>
            </w:r>
          </w:p>
        </w:tc>
        <w:tc>
          <w:tcPr>
            <w:tcW w:type="dxa" w:w="1584"/>
            <w:shd w:fill="1B365D"/>
            <w:tcMar>
              <w:top w:w="100" w:type="dxa"/>
              <w:bottom w:w="100" w:type="dxa"/>
              <w:left w:w="120" w:type="dxa"/>
              <w:right w:w="120" w:type="dxa"/>
            </w:tcMar>
          </w:tcPr>
          <w:p>
            <w:pPr>
              <w:jc w:val="left"/>
            </w:pPr>
            <w:r>
              <w:rPr>
                <w:rFonts w:ascii="Arial" w:hAnsi="Arial"/>
                <w:b/>
                <w:color w:val="FFFFFF"/>
                <w:sz w:val="19"/>
              </w:rPr>
              <w:t>Effect Size</w:t>
            </w:r>
          </w:p>
        </w:tc>
        <w:tc>
          <w:tcPr>
            <w:tcW w:type="dxa" w:w="1872"/>
            <w:shd w:fill="1B365D"/>
            <w:tcMar>
              <w:top w:w="100" w:type="dxa"/>
              <w:bottom w:w="100" w:type="dxa"/>
              <w:left w:w="120" w:type="dxa"/>
              <w:right w:w="120" w:type="dxa"/>
            </w:tcMar>
          </w:tcPr>
          <w:p>
            <w:pPr>
              <w:jc w:val="left"/>
            </w:pPr>
            <w:r>
              <w:rPr>
                <w:rFonts w:ascii="Arial" w:hAnsi="Arial"/>
                <w:b/>
                <w:color w:val="FFFFFF"/>
                <w:sz w:val="19"/>
              </w:rPr>
              <w:t>Inference Decision</w:t>
            </w:r>
          </w:p>
        </w:tc>
      </w:tr>
      <w:tr>
        <w:tc>
          <w:tcPr>
            <w:tcW w:type="dxa" w:w="172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Hypothesis 1</w:t>
            </w:r>
          </w:p>
        </w:tc>
        <w:tc>
          <w:tcPr>
            <w:tcW w:type="dxa" w:w="259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Price Sensitivity in Monthly Fees</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Welch's t = 18.41</w:t>
            </w:r>
          </w:p>
        </w:tc>
        <w:tc>
          <w:tcPr>
            <w:tcW w:type="dxa" w:w="1440"/>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p = 4.30e-73</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Cohen's d = 0.446</w:t>
            </w:r>
          </w:p>
        </w:tc>
        <w:tc>
          <w:tcPr>
            <w:tcW w:type="dxa" w:w="187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Reject H₀: Churned pay +$13.18/mo</w:t>
            </w:r>
          </w:p>
        </w:tc>
      </w:tr>
      <w:tr>
        <w:tc>
          <w:tcPr>
            <w:tcW w:type="dxa" w:w="1728"/>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Hypothesis 2</w:t>
            </w:r>
          </w:p>
        </w:tc>
        <w:tc>
          <w:tcPr>
            <w:tcW w:type="dxa" w:w="259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Contractual Commitment Longevity</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ANOVA F = 2,960.0</w:t>
            </w:r>
          </w:p>
        </w:tc>
        <w:tc>
          <w:tcPr>
            <w:tcW w:type="dxa" w:w="1440"/>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p &lt; 0.001</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η² = 0.457</w:t>
            </w:r>
          </w:p>
        </w:tc>
        <w:tc>
          <w:tcPr>
            <w:tcW w:type="dxa" w:w="187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Reject H₀: Contract dictates 45.7% tenure</w:t>
            </w:r>
          </w:p>
        </w:tc>
      </w:tr>
      <w:tr>
        <w:tc>
          <w:tcPr>
            <w:tcW w:type="dxa" w:w="1728"/>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Hypothesis 3</w:t>
            </w:r>
          </w:p>
        </w:tc>
        <w:tc>
          <w:tcPr>
            <w:tcW w:type="dxa" w:w="259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Tech Support Protective Shield</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Pearson χ² = 182.1</w:t>
            </w:r>
          </w:p>
        </w:tc>
        <w:tc>
          <w:tcPr>
            <w:tcW w:type="dxa" w:w="1440"/>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p = 1.67e-41</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Odds Ratio = 3.33</w:t>
            </w:r>
          </w:p>
        </w:tc>
        <w:tc>
          <w:tcPr>
            <w:tcW w:type="dxa" w:w="187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Reject H₀: Support slashes churn odds 3.3x</w:t>
            </w:r>
          </w:p>
        </w:tc>
      </w:tr>
      <w:tr>
        <w:tc>
          <w:tcPr>
            <w:tcW w:type="dxa" w:w="1728"/>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Hypothesis 4</w:t>
            </w:r>
          </w:p>
        </w:tc>
        <w:tc>
          <w:tcPr>
            <w:tcW w:type="dxa" w:w="259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Multivariate Independent Risk</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Wald z = 10.63</w:t>
            </w:r>
          </w:p>
        </w:tc>
        <w:tc>
          <w:tcPr>
            <w:tcW w:type="dxa" w:w="1440"/>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p &lt; 0.001</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M2M AOR = 5.96</w:t>
            </w:r>
          </w:p>
        </w:tc>
        <w:tc>
          <w:tcPr>
            <w:tcW w:type="dxa" w:w="187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Reject H₀: 5.96x independent odds multiplier</w:t>
            </w:r>
          </w:p>
        </w:tc>
      </w:tr>
    </w:tbl>
    <w:p>
      <w:pPr>
        <w:spacing w:before="160" w:after="80"/>
        <w:jc w:val="center"/>
      </w:pPr>
      <w:r>
        <w:drawing>
          <wp:inline xmlns:a="http://schemas.openxmlformats.org/drawingml/2006/main" xmlns:pic="http://schemas.openxmlformats.org/drawingml/2006/picture">
            <wp:extent cx="5669280" cy="3032883"/>
            <wp:docPr id="7" name="Picture 7"/>
            <wp:cNvGraphicFramePr>
              <a:graphicFrameLocks noChangeAspect="1"/>
            </wp:cNvGraphicFramePr>
            <a:graphic>
              <a:graphicData uri="http://schemas.openxmlformats.org/drawingml/2006/picture">
                <pic:pic>
                  <pic:nvPicPr>
                    <pic:cNvPr id="0" name="capstone_fig7_logistic_regression_forest.png"/>
                    <pic:cNvPicPr/>
                  </pic:nvPicPr>
                  <pic:blipFill>
                    <a:blip r:embed="rId15"/>
                    <a:stretch>
                      <a:fillRect/>
                    </a:stretch>
                  </pic:blipFill>
                  <pic:spPr>
                    <a:xfrm>
                      <a:off x="0" y="0"/>
                      <a:ext cx="5669280" cy="3032883"/>
                    </a:xfrm>
                    <a:prstGeom prst="rect"/>
                  </pic:spPr>
                </pic:pic>
              </a:graphicData>
            </a:graphic>
          </wp:inline>
        </w:drawing>
      </w:r>
    </w:p>
    <w:p>
      <w:pPr>
        <w:spacing w:after="160"/>
        <w:jc w:val="center"/>
      </w:pPr>
      <w:r>
        <w:rPr>
          <w:i/>
          <w:color w:val="64748B"/>
          <w:sz w:val="18"/>
        </w:rPr>
        <w:t>Figure 7: Multivariate Logistic Regression Forest Plot of Adjusted Odds Ratios with 95% Confidence Intervals.</w:t>
      </w:r>
    </w:p>
    <w:tbl>
      <w:tblPr>
        <w:tblW w:type="auto" w:w="0"/>
        <w:jc w:val="center"/>
        <w:tblLayout w:type="fixed"/>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top w:val="none"/>
              <w:left w:val="single" w:sz="36" w:space="0" w:color="1B365D"/>
              <w:bottom w:val="none"/>
              <w:right w:val="none"/>
            </w:tcBorders>
          </w:tcPr>
          <w:p>
            <w:pPr>
              <w:spacing w:before="0" w:after="80"/>
            </w:pPr>
            <w:r>
              <w:rPr>
                <w:rFonts w:ascii="Arial" w:hAnsi="Arial"/>
                <w:b/>
                <w:color w:val="1B365D"/>
                <w:sz w:val="20"/>
              </w:rPr>
              <w:t>[RATIONALE] STATISTICAL RIGOR TAKEAWAY</w:t>
              <w:br/>
            </w:r>
            <w:r>
              <w:rPr>
                <w:rFonts w:ascii="Arial" w:hAnsi="Arial"/>
                <w:i/>
                <w:color w:val="1E293B"/>
                <w:sz w:val="19"/>
              </w:rPr>
              <w:t>All four null hypotheses were rejected with p &lt; 0.001. The multivariate logistic regression proved that after controlling for tenure, monthly fee, and demographics, Month-to-month contracts multiply churn odds by 5.96x (95% CI: [4.29, 8.29]), while Electronic Check billing elevates churn odds by 70% (AOR = 1.70, 95% CI: [1.41, 2.05]).</w:t>
            </w:r>
          </w:p>
        </w:tc>
      </w:tr>
    </w:tbl>
    <w:p>
      <w:pPr>
        <w:spacing w:before="0" w:after="80"/>
      </w:pPr>
    </w:p>
    <w:p>
      <w:pPr>
        <w:spacing w:before="320" w:after="120"/>
      </w:pPr>
      <w:r>
        <w:rPr>
          <w:b/>
          <w:color w:val="1B365D"/>
          <w:sz w:val="30"/>
        </w:rPr>
        <w:t>5.0 MACHINE LEARNING MODEL DEVELOPMENT &amp; BENCHMARK EVALUATION (WEEK 4)</w:t>
      </w:r>
    </w:p>
    <w:p>
      <w:pPr>
        <w:spacing w:before="0" w:after="120" w:line="276" w:lineRule="auto"/>
      </w:pPr>
      <w:r>
        <w:t>In Phase 4, a machine learning tournament was staged across 5,634 training records and 1,409 held-out test accounts. Four algorithms were evaluated: Logistic Regression (L2 regularized), Decision Tree (pruned max_depth=5), Random Forest (100 bagging trees), and Gradient Boosting (100 boosting trees, learning rate 0.1):</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160"/>
            <w:shd w:fill="1B365D"/>
            <w:tcMar>
              <w:top w:w="100" w:type="dxa"/>
              <w:bottom w:w="100" w:type="dxa"/>
              <w:left w:w="120" w:type="dxa"/>
              <w:right w:w="120" w:type="dxa"/>
            </w:tcMar>
          </w:tcPr>
          <w:p>
            <w:pPr>
              <w:jc w:val="left"/>
            </w:pPr>
            <w:r>
              <w:rPr>
                <w:rFonts w:ascii="Arial" w:hAnsi="Arial"/>
                <w:b/>
                <w:color w:val="FFFFFF"/>
                <w:sz w:val="19"/>
              </w:rPr>
              <w:t>Algorithm</w:t>
            </w:r>
          </w:p>
        </w:tc>
        <w:tc>
          <w:tcPr>
            <w:tcW w:type="dxa" w:w="1152"/>
            <w:shd w:fill="1B365D"/>
            <w:tcMar>
              <w:top w:w="100" w:type="dxa"/>
              <w:bottom w:w="100" w:type="dxa"/>
              <w:left w:w="120" w:type="dxa"/>
              <w:right w:w="120" w:type="dxa"/>
            </w:tcMar>
          </w:tcPr>
          <w:p>
            <w:pPr>
              <w:jc w:val="right"/>
            </w:pPr>
            <w:r>
              <w:rPr>
                <w:rFonts w:ascii="Arial" w:hAnsi="Arial"/>
                <w:b/>
                <w:color w:val="FFFFFF"/>
                <w:sz w:val="19"/>
              </w:rPr>
              <w:t>Accuracy</w:t>
            </w:r>
          </w:p>
        </w:tc>
        <w:tc>
          <w:tcPr>
            <w:tcW w:type="dxa" w:w="1152"/>
            <w:shd w:fill="1B365D"/>
            <w:tcMar>
              <w:top w:w="100" w:type="dxa"/>
              <w:bottom w:w="100" w:type="dxa"/>
              <w:left w:w="120" w:type="dxa"/>
              <w:right w:w="120" w:type="dxa"/>
            </w:tcMar>
          </w:tcPr>
          <w:p>
            <w:pPr>
              <w:jc w:val="right"/>
            </w:pPr>
            <w:r>
              <w:rPr>
                <w:rFonts w:ascii="Arial" w:hAnsi="Arial"/>
                <w:b/>
                <w:color w:val="FFFFFF"/>
                <w:sz w:val="19"/>
              </w:rPr>
              <w:t>Balanced Acc</w:t>
            </w:r>
          </w:p>
        </w:tc>
        <w:tc>
          <w:tcPr>
            <w:tcW w:type="dxa" w:w="1152"/>
            <w:shd w:fill="1B365D"/>
            <w:tcMar>
              <w:top w:w="100" w:type="dxa"/>
              <w:bottom w:w="100" w:type="dxa"/>
              <w:left w:w="120" w:type="dxa"/>
              <w:right w:w="120" w:type="dxa"/>
            </w:tcMar>
          </w:tcPr>
          <w:p>
            <w:pPr>
              <w:jc w:val="right"/>
            </w:pPr>
            <w:r>
              <w:rPr>
                <w:rFonts w:ascii="Arial" w:hAnsi="Arial"/>
                <w:b/>
                <w:color w:val="FFFFFF"/>
                <w:sz w:val="19"/>
              </w:rPr>
              <w:t>Precision</w:t>
            </w:r>
          </w:p>
        </w:tc>
        <w:tc>
          <w:tcPr>
            <w:tcW w:type="dxa" w:w="1152"/>
            <w:shd w:fill="1B365D"/>
            <w:tcMar>
              <w:top w:w="100" w:type="dxa"/>
              <w:bottom w:w="100" w:type="dxa"/>
              <w:left w:w="120" w:type="dxa"/>
              <w:right w:w="120" w:type="dxa"/>
            </w:tcMar>
          </w:tcPr>
          <w:p>
            <w:pPr>
              <w:jc w:val="right"/>
            </w:pPr>
            <w:r>
              <w:rPr>
                <w:rFonts w:ascii="Arial" w:hAnsi="Arial"/>
                <w:b/>
                <w:color w:val="FFFFFF"/>
                <w:sz w:val="19"/>
              </w:rPr>
              <w:t>Recall</w:t>
            </w:r>
          </w:p>
        </w:tc>
        <w:tc>
          <w:tcPr>
            <w:tcW w:type="dxa" w:w="1296"/>
            <w:shd w:fill="1B365D"/>
            <w:tcMar>
              <w:top w:w="100" w:type="dxa"/>
              <w:bottom w:w="100" w:type="dxa"/>
              <w:left w:w="120" w:type="dxa"/>
              <w:right w:w="120" w:type="dxa"/>
            </w:tcMar>
          </w:tcPr>
          <w:p>
            <w:pPr>
              <w:jc w:val="right"/>
            </w:pPr>
            <w:r>
              <w:rPr>
                <w:rFonts w:ascii="Arial" w:hAnsi="Arial"/>
                <w:b/>
                <w:color w:val="FFFFFF"/>
                <w:sz w:val="19"/>
              </w:rPr>
              <w:t>F1-Score</w:t>
            </w:r>
          </w:p>
        </w:tc>
        <w:tc>
          <w:tcPr>
            <w:tcW w:type="dxa" w:w="1296"/>
            <w:shd w:fill="1B365D"/>
            <w:tcMar>
              <w:top w:w="100" w:type="dxa"/>
              <w:bottom w:w="100" w:type="dxa"/>
              <w:left w:w="120" w:type="dxa"/>
              <w:right w:w="120" w:type="dxa"/>
            </w:tcMar>
          </w:tcPr>
          <w:p>
            <w:pPr>
              <w:jc w:val="right"/>
            </w:pPr>
            <w:r>
              <w:rPr>
                <w:rFonts w:ascii="Arial" w:hAnsi="Arial"/>
                <w:b/>
                <w:color w:val="FFFFFF"/>
                <w:sz w:val="19"/>
              </w:rPr>
              <w:t>ROC-AUC</w:t>
            </w:r>
          </w:p>
        </w:tc>
      </w:tr>
      <w:tr>
        <w:tc>
          <w:tcPr>
            <w:tcW w:type="dxa" w:w="2160"/>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Logistic Regression</w:t>
            </w:r>
          </w:p>
        </w:tc>
        <w:tc>
          <w:tcPr>
            <w:tcW w:type="dxa" w:w="1152"/>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80.62%</w:t>
            </w:r>
          </w:p>
        </w:tc>
        <w:tc>
          <w:tcPr>
            <w:tcW w:type="dxa" w:w="1152"/>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72.72%</w:t>
            </w:r>
          </w:p>
        </w:tc>
        <w:tc>
          <w:tcPr>
            <w:tcW w:type="dxa" w:w="1152"/>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65.93%</w:t>
            </w:r>
          </w:p>
        </w:tc>
        <w:tc>
          <w:tcPr>
            <w:tcW w:type="dxa" w:w="1152"/>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55.88%</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0.6049</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0.8422</w:t>
            </w:r>
          </w:p>
        </w:tc>
      </w:tr>
      <w:tr>
        <w:tc>
          <w:tcPr>
            <w:tcW w:type="dxa" w:w="2160"/>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Decision Tree</w:t>
            </w:r>
          </w:p>
        </w:tc>
        <w:tc>
          <w:tcPr>
            <w:tcW w:type="dxa" w:w="1152"/>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79.56%</w:t>
            </w:r>
          </w:p>
        </w:tc>
        <w:tc>
          <w:tcPr>
            <w:tcW w:type="dxa" w:w="1152"/>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71.57%</w:t>
            </w:r>
          </w:p>
        </w:tc>
        <w:tc>
          <w:tcPr>
            <w:tcW w:type="dxa" w:w="1152"/>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63.35%</w:t>
            </w:r>
          </w:p>
        </w:tc>
        <w:tc>
          <w:tcPr>
            <w:tcW w:type="dxa" w:w="1152"/>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54.55%</w:t>
            </w:r>
          </w:p>
        </w:tc>
        <w:tc>
          <w:tcPr>
            <w:tcW w:type="dxa" w:w="1296"/>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0.5862</w:t>
            </w:r>
          </w:p>
        </w:tc>
        <w:tc>
          <w:tcPr>
            <w:tcW w:type="dxa" w:w="1296"/>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0.8268</w:t>
            </w:r>
          </w:p>
        </w:tc>
      </w:tr>
      <w:tr>
        <w:tc>
          <w:tcPr>
            <w:tcW w:type="dxa" w:w="2160"/>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Random Forest</w:t>
            </w:r>
          </w:p>
        </w:tc>
        <w:tc>
          <w:tcPr>
            <w:tcW w:type="dxa" w:w="1152"/>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80.27%</w:t>
            </w:r>
          </w:p>
        </w:tc>
        <w:tc>
          <w:tcPr>
            <w:tcW w:type="dxa" w:w="1152"/>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70.43%</w:t>
            </w:r>
          </w:p>
        </w:tc>
        <w:tc>
          <w:tcPr>
            <w:tcW w:type="dxa" w:w="1152"/>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67.52%</w:t>
            </w:r>
          </w:p>
        </w:tc>
        <w:tc>
          <w:tcPr>
            <w:tcW w:type="dxa" w:w="1152"/>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49.47%</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0.5710</w:t>
            </w:r>
          </w:p>
        </w:tc>
        <w:tc>
          <w:tcPr>
            <w:tcW w:type="dxa" w:w="1296"/>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0.8443</w:t>
            </w:r>
          </w:p>
        </w:tc>
      </w:tr>
      <w:tr>
        <w:tc>
          <w:tcPr>
            <w:tcW w:type="dxa" w:w="2160"/>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Gradient Boosting</w:t>
            </w:r>
          </w:p>
        </w:tc>
        <w:tc>
          <w:tcPr>
            <w:tcW w:type="dxa" w:w="1152"/>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79.91%</w:t>
            </w:r>
          </w:p>
        </w:tc>
        <w:tc>
          <w:tcPr>
            <w:tcW w:type="dxa" w:w="1152"/>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70.62%</w:t>
            </w:r>
          </w:p>
        </w:tc>
        <w:tc>
          <w:tcPr>
            <w:tcW w:type="dxa" w:w="1152"/>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65.74%</w:t>
            </w:r>
          </w:p>
        </w:tc>
        <w:tc>
          <w:tcPr>
            <w:tcW w:type="dxa" w:w="1152"/>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50.80%</w:t>
            </w:r>
          </w:p>
        </w:tc>
        <w:tc>
          <w:tcPr>
            <w:tcW w:type="dxa" w:w="1296"/>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0.5732</w:t>
            </w:r>
          </w:p>
        </w:tc>
        <w:tc>
          <w:tcPr>
            <w:tcW w:type="dxa" w:w="1296"/>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0.8439</w:t>
            </w:r>
          </w:p>
        </w:tc>
      </w:tr>
    </w:tbl>
    <w:p>
      <w:pPr>
        <w:spacing w:before="160" w:after="80"/>
        <w:jc w:val="center"/>
      </w:pPr>
      <w:r>
        <w:drawing>
          <wp:inline xmlns:a="http://schemas.openxmlformats.org/drawingml/2006/main" xmlns:pic="http://schemas.openxmlformats.org/drawingml/2006/picture">
            <wp:extent cx="5669280" cy="4713783"/>
            <wp:docPr id="8" name="Picture 8"/>
            <wp:cNvGraphicFramePr>
              <a:graphicFrameLocks noChangeAspect="1"/>
            </wp:cNvGraphicFramePr>
            <a:graphic>
              <a:graphicData uri="http://schemas.openxmlformats.org/drawingml/2006/picture">
                <pic:pic>
                  <pic:nvPicPr>
                    <pic:cNvPr id="0" name="capstone_fig8_multi_model_roc_curves.png"/>
                    <pic:cNvPicPr/>
                  </pic:nvPicPr>
                  <pic:blipFill>
                    <a:blip r:embed="rId16"/>
                    <a:stretch>
                      <a:fillRect/>
                    </a:stretch>
                  </pic:blipFill>
                  <pic:spPr>
                    <a:xfrm>
                      <a:off x="0" y="0"/>
                      <a:ext cx="5669280" cy="4713783"/>
                    </a:xfrm>
                    <a:prstGeom prst="rect"/>
                  </pic:spPr>
                </pic:pic>
              </a:graphicData>
            </a:graphic>
          </wp:inline>
        </w:drawing>
      </w:r>
    </w:p>
    <w:p>
      <w:pPr>
        <w:spacing w:after="160"/>
        <w:jc w:val="center"/>
      </w:pPr>
      <w:r>
        <w:rPr>
          <w:i/>
          <w:color w:val="64748B"/>
          <w:sz w:val="18"/>
        </w:rPr>
        <w:t>Figure 8: Multi-Model Receiver Operating Characteristic (ROC) Discrimination Comparison.</w:t>
      </w:r>
    </w:p>
    <w:p>
      <w:pPr>
        <w:spacing w:before="160" w:after="80"/>
        <w:jc w:val="center"/>
      </w:pPr>
      <w:r>
        <w:drawing>
          <wp:inline xmlns:a="http://schemas.openxmlformats.org/drawingml/2006/main" xmlns:pic="http://schemas.openxmlformats.org/drawingml/2006/picture">
            <wp:extent cx="5669280" cy="4952929"/>
            <wp:docPr id="9" name="Picture 9"/>
            <wp:cNvGraphicFramePr>
              <a:graphicFrameLocks noChangeAspect="1"/>
            </wp:cNvGraphicFramePr>
            <a:graphic>
              <a:graphicData uri="http://schemas.openxmlformats.org/drawingml/2006/picture">
                <pic:pic>
                  <pic:nvPicPr>
                    <pic:cNvPr id="0" name="capstone_fig9_confusion_matrix_suite.png"/>
                    <pic:cNvPicPr/>
                  </pic:nvPicPr>
                  <pic:blipFill>
                    <a:blip r:embed="rId17"/>
                    <a:stretch>
                      <a:fillRect/>
                    </a:stretch>
                  </pic:blipFill>
                  <pic:spPr>
                    <a:xfrm>
                      <a:off x="0" y="0"/>
                      <a:ext cx="5669280" cy="4952929"/>
                    </a:xfrm>
                    <a:prstGeom prst="rect"/>
                  </pic:spPr>
                </pic:pic>
              </a:graphicData>
            </a:graphic>
          </wp:inline>
        </w:drawing>
      </w:r>
    </w:p>
    <w:p>
      <w:pPr>
        <w:spacing w:after="160"/>
        <w:jc w:val="center"/>
      </w:pPr>
      <w:r>
        <w:rPr>
          <w:i/>
          <w:color w:val="64748B"/>
          <w:sz w:val="18"/>
        </w:rPr>
        <w:t>Figure 9: Four-Panel Confusion Matrix Diagnostic Benchmark on Held-Out Test Data.</w:t>
      </w:r>
    </w:p>
    <w:tbl>
      <w:tblPr>
        <w:tblW w:type="auto" w:w="0"/>
        <w:jc w:val="center"/>
        <w:tblLayout w:type="fixed"/>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top w:val="none"/>
              <w:left w:val="single" w:sz="36" w:space="0" w:color="1B365D"/>
              <w:bottom w:val="none"/>
              <w:right w:val="none"/>
            </w:tcBorders>
          </w:tcPr>
          <w:p>
            <w:pPr>
              <w:spacing w:before="0" w:after="80"/>
            </w:pPr>
            <w:r>
              <w:rPr>
                <w:rFonts w:ascii="Arial" w:hAnsi="Arial"/>
                <w:b/>
                <w:color w:val="1B365D"/>
                <w:sz w:val="20"/>
              </w:rPr>
              <w:t>[RATIONALE] MACHINE LEARNING TOURNAMENT VERDICT</w:t>
              <w:br/>
            </w:r>
            <w:r>
              <w:rPr>
                <w:rFonts w:ascii="Arial" w:hAnsi="Arial"/>
                <w:i/>
                <w:color w:val="1E293B"/>
                <w:sz w:val="19"/>
              </w:rPr>
              <w:t>Gradient Boosting achieved the champion performance with a test ROC-AUC of 0.8439, PR-AUC of 0.6543, and 5-fold CV ROC-AUC of 0.8468 ± 0.011. However, at default 0.50 probability cutoffs, all models suffer from high False Negative counts (184 missed churners in Gradient Boosting), illustrating that standard classification thresholds fail in asymmetric commercial cost environments.</w:t>
            </w:r>
          </w:p>
        </w:tc>
      </w:tr>
    </w:tbl>
    <w:p>
      <w:pPr>
        <w:spacing w:before="0" w:after="80"/>
      </w:pPr>
    </w:p>
    <w:p>
      <w:pPr>
        <w:spacing w:before="320" w:after="120"/>
      </w:pPr>
      <w:r>
        <w:rPr>
          <w:b/>
          <w:color w:val="1B365D"/>
          <w:sz w:val="30"/>
        </w:rPr>
        <w:t>6.0 DECISION THRESHOLD TUNING &amp; ASYMMETRIC COST OPTIMIZATION</w:t>
      </w:r>
    </w:p>
    <w:p>
      <w:pPr>
        <w:spacing w:before="0" w:after="120" w:line="276" w:lineRule="auto"/>
      </w:pPr>
      <w:r>
        <w:t>A critical conceptual leap in production data science is recognizing that classification errors carry asymmetric financial consequences. In customer retention, a False Negative (failing to predict a churning customer who permanently defects) costs the enterprise ~$1,000 in lost CLV. Conversely, a False Positive (offering a retention voucher to a loyal customer who would have stayed anyway) costs only ~$60 in promotional margin.</w:t>
        <w:br/>
        <w:br/>
        <w:t>By simulating total commercial loss across thresholds from p = 0.05 to 0.95, we identified that the cost-minimizing threshold is p* = 0.23:</w:t>
      </w:r>
    </w:p>
    <w:p>
      <w:pPr>
        <w:spacing w:before="160" w:after="80"/>
        <w:jc w:val="center"/>
      </w:pPr>
      <w:r>
        <w:drawing>
          <wp:inline xmlns:a="http://schemas.openxmlformats.org/drawingml/2006/main" xmlns:pic="http://schemas.openxmlformats.org/drawingml/2006/picture">
            <wp:extent cx="5669280" cy="3049025"/>
            <wp:docPr id="10" name="Picture 10"/>
            <wp:cNvGraphicFramePr>
              <a:graphicFrameLocks noChangeAspect="1"/>
            </wp:cNvGraphicFramePr>
            <a:graphic>
              <a:graphicData uri="http://schemas.openxmlformats.org/drawingml/2006/picture">
                <pic:pic>
                  <pic:nvPicPr>
                    <pic:cNvPr id="0" name="capstone_fig10_threshold_cost_optimization.png"/>
                    <pic:cNvPicPr/>
                  </pic:nvPicPr>
                  <pic:blipFill>
                    <a:blip r:embed="rId18"/>
                    <a:stretch>
                      <a:fillRect/>
                    </a:stretch>
                  </pic:blipFill>
                  <pic:spPr>
                    <a:xfrm>
                      <a:off x="0" y="0"/>
                      <a:ext cx="5669280" cy="3049025"/>
                    </a:xfrm>
                    <a:prstGeom prst="rect"/>
                  </pic:spPr>
                </pic:pic>
              </a:graphicData>
            </a:graphic>
          </wp:inline>
        </w:drawing>
      </w:r>
    </w:p>
    <w:p>
      <w:pPr>
        <w:spacing w:after="160"/>
        <w:jc w:val="center"/>
      </w:pPr>
      <w:r>
        <w:rPr>
          <w:i/>
          <w:color w:val="64748B"/>
          <w:sz w:val="18"/>
        </w:rPr>
        <w:t>Figure 10: Total Commercial Cost Curve across Operating Decision Thresholds (FN Cost = $1,000, FP Cost = $60).</w:t>
      </w:r>
    </w:p>
    <w:tbl>
      <w:tblPr>
        <w:tblW w:type="auto" w:w="0"/>
        <w:jc w:val="center"/>
        <w:tblLayout w:type="fixed"/>
        <w:tblLook w:firstColumn="1" w:firstRow="1" w:lastColumn="0" w:lastRow="0" w:noHBand="0" w:noVBand="1" w:val="04A0"/>
      </w:tblPr>
      <w:tblGrid>
        <w:gridCol w:w="9360"/>
      </w:tblGrid>
      <w:tr>
        <w:tc>
          <w:tcPr>
            <w:tcW w:type="dxa" w:w="9360"/>
            <w:shd w:fill="E6FFFA"/>
            <w:tcMar>
              <w:top w:w="140" w:type="dxa"/>
              <w:bottom w:w="140" w:type="dxa"/>
              <w:left w:w="200" w:type="dxa"/>
              <w:right w:w="200" w:type="dxa"/>
            </w:tcMar>
            <w:tcBorders>
              <w:top w:val="none"/>
              <w:left w:val="single" w:sz="36" w:space="0" w:color="0D9488"/>
              <w:bottom w:val="none"/>
              <w:right w:val="none"/>
            </w:tcBorders>
          </w:tcPr>
          <w:p>
            <w:pPr>
              <w:spacing w:before="0" w:after="80"/>
            </w:pPr>
            <w:r>
              <w:rPr>
                <w:rFonts w:ascii="Arial" w:hAnsi="Arial"/>
                <w:b/>
                <w:color w:val="0D9488"/>
                <w:sz w:val="20"/>
              </w:rPr>
              <w:t>[FINANCIAL ROI] COMMERCIAL THRESHOLD OPTIMIZATION RESULT</w:t>
              <w:br/>
            </w:r>
            <w:r>
              <w:rPr>
                <w:rFonts w:ascii="Arial" w:hAnsi="Arial"/>
                <w:i/>
                <w:color w:val="1E293B"/>
                <w:sz w:val="19"/>
              </w:rPr>
              <w:t>Re-calibrating the decision cutoff from 0.50 to p = 0.23 elevates churn recall from 50.8% to 83.2% (capturing 311 of 374 at-risk subscribers). This operational shift slashes total commercial loss from $189,940 down to $107,380—generating an immediate net financial savings of $82,560 (a 43.5% cost reduction) on the test cohort alone, scaling to ~$400,000+ annually across the full enterprise.</w:t>
            </w:r>
          </w:p>
        </w:tc>
      </w:tr>
    </w:tbl>
    <w:p>
      <w:pPr>
        <w:spacing w:before="0" w:after="80"/>
      </w:pPr>
    </w:p>
    <w:p>
      <w:pPr>
        <w:spacing w:before="320" w:after="120"/>
      </w:pPr>
      <w:r>
        <w:rPr>
          <w:b/>
          <w:color w:val="1B365D"/>
          <w:sz w:val="30"/>
        </w:rPr>
        <w:t>7.0 STRATEGIC RECOMMENDATIONS &amp; DEPARTMENTAL EXECUTION PLAYBOOKS</w:t>
      </w:r>
    </w:p>
    <w:p>
      <w:pPr>
        <w:spacing w:before="0" w:after="120" w:line="276" w:lineRule="auto"/>
      </w:pPr>
      <w:r>
        <w:t>Transforming predictive intelligence into enterprise EBITDA expansion requires coordinated execution across four key functional pillars:</w:t>
      </w:r>
    </w:p>
    <w:p>
      <w:pPr>
        <w:pStyle w:val="ListBullet"/>
        <w:spacing w:before="40" w:after="60"/>
      </w:pPr>
      <w:r>
        <w:rPr>
          <w:b/>
          <w:color w:val="2C5282"/>
        </w:rPr>
        <w:t xml:space="preserve">Pillar 1: Customer Success — The 90-Day White-Glove Onboarding Cadence: </w:t>
      </w:r>
      <w:r>
        <w:t>Because 38% of churn occurs within months 1-6 with hazard peaking at 11.4% in month 1, Customer Success must deploy an automated onboarding check-in cadence at Day 14, Day 45, and Day 80. Real-time router diagnostics and proactive setup assistance will shepherd new subscribers through the initial hazard zone.</w:t>
      </w:r>
    </w:p>
    <w:p>
      <w:pPr>
        <w:pStyle w:val="ListBullet"/>
        <w:spacing w:before="40" w:after="60"/>
      </w:pPr>
      <w:r>
        <w:rPr>
          <w:b/>
          <w:color w:val="2C5282"/>
        </w:rPr>
        <w:t xml:space="preserve">Pillar 2: Product Management — Mandatory Fiber Support &amp; Security Bundling: </w:t>
      </w:r>
      <w:r>
        <w:t>Inferential tests proved that unassisted fiber broadband accounts face 3.33x higher churn odds (OR = 3.33, p &lt; 0.001). Product management must bundle 6 months of complimentary Tech Support and Online Security with every Fiber Optic install, converting an à la carte friction point into an embedded retention anchor.</w:t>
      </w:r>
    </w:p>
    <w:p>
      <w:pPr>
        <w:pStyle w:val="ListBullet"/>
        <w:spacing w:before="40" w:after="60"/>
      </w:pPr>
      <w:r>
        <w:rPr>
          <w:b/>
          <w:color w:val="2C5282"/>
        </w:rPr>
        <w:t xml:space="preserve">Pillar 3: Marketing &amp; Growth — Contract Horizon Migration Incentives: </w:t>
      </w:r>
      <w:r>
        <w:t>Month-to-month contracts multiply churn odds by 5.96x (AOR = 5.96, p &lt; 0.001). Marketing must launch targeted migration campaigns offering a $5/month bill discount or free Wi-Fi 6 hardware upgrade for subscribers transitioning onto 1-year or 2-year commitments.</w:t>
      </w:r>
    </w:p>
    <w:p>
      <w:pPr>
        <w:pStyle w:val="ListBullet"/>
        <w:spacing w:before="40" w:after="60"/>
      </w:pPr>
      <w:r>
        <w:rPr>
          <w:b/>
          <w:color w:val="2C5282"/>
        </w:rPr>
        <w:t xml:space="preserve">Pillar 4: Billing Operations — Autopay Modernization &amp; Involuntary Churn Prevention: </w:t>
      </w:r>
      <w:r>
        <w:t>Electronic check users exhibit 70% higher churn odds (AOR = 1.70, p &lt; 0.001). Billing operations must offer a one-time $10 account credit for enrolling in ACH/credit card autopay and introduce intelligent card-retry logic to eliminate involuntary payment decline churn.</w:t>
      </w:r>
    </w:p>
    <w:p>
      <w:pPr>
        <w:spacing w:before="320" w:after="120"/>
      </w:pPr>
      <w:r>
        <w:rPr>
          <w:b/>
          <w:color w:val="1B365D"/>
          <w:sz w:val="30"/>
        </w:rPr>
        <w:t>8.0 CONSOLIDATED FINANCIAL ROI MODEL &amp; EXECUTIVE PAYBACK ANALYSIS</w:t>
      </w:r>
    </w:p>
    <w:p>
      <w:pPr>
        <w:spacing w:before="0" w:after="120" w:line="276" w:lineRule="auto"/>
      </w:pPr>
      <w:r>
        <w:t>To present a definitive business case to the Chief Financial Officer (CFO), we modeled the consolidated 12-month financial returns of executing the four strategic retention pillars across the 7,043 subscriber base: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B365D"/>
            <w:tcMar>
              <w:top w:w="100" w:type="dxa"/>
              <w:bottom w:w="100" w:type="dxa"/>
              <w:left w:w="120" w:type="dxa"/>
              <w:right w:w="120" w:type="dxa"/>
            </w:tcMar>
          </w:tcPr>
          <w:p>
            <w:pPr>
              <w:jc w:val="left"/>
            </w:pPr>
            <w:r>
              <w:rPr>
                <w:rFonts w:ascii="Arial" w:hAnsi="Arial"/>
                <w:b/>
                <w:color w:val="FFFFFF"/>
                <w:sz w:val="19"/>
              </w:rPr>
              <w:t>Strategic Initiative</w:t>
            </w:r>
          </w:p>
        </w:tc>
        <w:tc>
          <w:tcPr>
            <w:tcW w:type="dxa" w:w="1872"/>
            <w:shd w:fill="1B365D"/>
            <w:tcMar>
              <w:top w:w="100" w:type="dxa"/>
              <w:bottom w:w="100" w:type="dxa"/>
              <w:left w:w="120" w:type="dxa"/>
              <w:right w:w="120" w:type="dxa"/>
            </w:tcMar>
          </w:tcPr>
          <w:p>
            <w:pPr>
              <w:jc w:val="left"/>
            </w:pPr>
            <w:r>
              <w:rPr>
                <w:rFonts w:ascii="Arial" w:hAnsi="Arial"/>
                <w:b/>
                <w:color w:val="FFFFFF"/>
                <w:sz w:val="19"/>
              </w:rPr>
              <w:t>Target Cohort</w:t>
            </w:r>
          </w:p>
        </w:tc>
        <w:tc>
          <w:tcPr>
            <w:tcW w:type="dxa" w:w="1728"/>
            <w:shd w:fill="1B365D"/>
            <w:tcMar>
              <w:top w:w="100" w:type="dxa"/>
              <w:bottom w:w="100" w:type="dxa"/>
              <w:left w:w="120" w:type="dxa"/>
              <w:right w:w="120" w:type="dxa"/>
            </w:tcMar>
          </w:tcPr>
          <w:p>
            <w:pPr>
              <w:jc w:val="right"/>
            </w:pPr>
            <w:r>
              <w:rPr>
                <w:rFonts w:ascii="Arial" w:hAnsi="Arial"/>
                <w:b/>
                <w:color w:val="FFFFFF"/>
                <w:sz w:val="19"/>
              </w:rPr>
              <w:t>Annual Budget</w:t>
            </w:r>
          </w:p>
        </w:tc>
        <w:tc>
          <w:tcPr>
            <w:tcW w:type="dxa" w:w="1584"/>
            <w:shd w:fill="1B365D"/>
            <w:tcMar>
              <w:top w:w="100" w:type="dxa"/>
              <w:bottom w:w="100" w:type="dxa"/>
              <w:left w:w="120" w:type="dxa"/>
              <w:right w:w="120" w:type="dxa"/>
            </w:tcMar>
          </w:tcPr>
          <w:p>
            <w:pPr>
              <w:jc w:val="right"/>
            </w:pPr>
            <w:r>
              <w:rPr>
                <w:rFonts w:ascii="Arial" w:hAnsi="Arial"/>
                <w:b/>
                <w:color w:val="FFFFFF"/>
                <w:sz w:val="19"/>
              </w:rPr>
              <w:t>Projected ARR Saved</w:t>
            </w:r>
          </w:p>
        </w:tc>
        <w:tc>
          <w:tcPr>
            <w:tcW w:type="dxa" w:w="1584"/>
            <w:shd w:fill="1B365D"/>
            <w:tcMar>
              <w:top w:w="100" w:type="dxa"/>
              <w:bottom w:w="100" w:type="dxa"/>
              <w:left w:w="120" w:type="dxa"/>
              <w:right w:w="120" w:type="dxa"/>
            </w:tcMar>
          </w:tcPr>
          <w:p>
            <w:pPr>
              <w:jc w:val="right"/>
            </w:pPr>
            <w:r>
              <w:rPr>
                <w:rFonts w:ascii="Arial" w:hAnsi="Arial"/>
                <w:b/>
                <w:color w:val="FFFFFF"/>
                <w:sz w:val="19"/>
              </w:rPr>
              <w:t>Net 1-Yr ROI</w:t>
            </w:r>
          </w:p>
        </w:tc>
      </w:tr>
      <w:tr>
        <w:tc>
          <w:tcPr>
            <w:tcW w:type="dxa" w:w="259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1. White-Glove Onboarding Cadence</w:t>
            </w:r>
          </w:p>
        </w:tc>
        <w:tc>
          <w:tcPr>
            <w:tcW w:type="dxa" w:w="187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New accounts (tenure ≤ 6 mos)</w:t>
            </w:r>
          </w:p>
        </w:tc>
        <w:tc>
          <w:tcPr>
            <w:tcW w:type="dxa" w:w="1728"/>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$45,000</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$420,000</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+833%</w:t>
            </w:r>
          </w:p>
        </w:tc>
      </w:tr>
      <w:tr>
        <w:tc>
          <w:tcPr>
            <w:tcW w:type="dxa" w:w="259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2. Mandatory Fiber Support Bundling</w:t>
            </w:r>
          </w:p>
        </w:tc>
        <w:tc>
          <w:tcPr>
            <w:tcW w:type="dxa" w:w="187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Fiber users lacking support</w:t>
            </w:r>
          </w:p>
        </w:tc>
        <w:tc>
          <w:tcPr>
            <w:tcW w:type="dxa" w:w="1728"/>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$85,000</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$510,000</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+500%</w:t>
            </w:r>
          </w:p>
        </w:tc>
      </w:tr>
      <w:tr>
        <w:tc>
          <w:tcPr>
            <w:tcW w:type="dxa" w:w="259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3. Contract Migration Campaign</w:t>
            </w:r>
          </w:p>
        </w:tc>
        <w:tc>
          <w:tcPr>
            <w:tcW w:type="dxa" w:w="187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Month-to-month subscribers</w:t>
            </w:r>
          </w:p>
        </w:tc>
        <w:tc>
          <w:tcPr>
            <w:tcW w:type="dxa" w:w="1728"/>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$60,000</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$280,000</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+367%</w:t>
            </w:r>
          </w:p>
        </w:tc>
      </w:tr>
      <w:tr>
        <w:tc>
          <w:tcPr>
            <w:tcW w:type="dxa" w:w="259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4. Autopay Migration Incentives</w:t>
            </w:r>
          </w:p>
        </w:tc>
        <w:tc>
          <w:tcPr>
            <w:tcW w:type="dxa" w:w="1872"/>
            <w:shd w:fill="F8FAFC"/>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Electronic check users</w:t>
            </w:r>
          </w:p>
        </w:tc>
        <w:tc>
          <w:tcPr>
            <w:tcW w:type="dxa" w:w="1728"/>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$30,000</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$165,000</w:t>
            </w:r>
          </w:p>
        </w:tc>
        <w:tc>
          <w:tcPr>
            <w:tcW w:type="dxa" w:w="1584"/>
            <w:shd w:fill="F8FAFC"/>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+450%</w:t>
            </w:r>
          </w:p>
        </w:tc>
      </w:tr>
      <w:tr>
        <w:tc>
          <w:tcPr>
            <w:tcW w:type="dxa" w:w="259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TOTAL RETENTION PROGRAM</w:t>
            </w:r>
          </w:p>
        </w:tc>
        <w:tc>
          <w:tcPr>
            <w:tcW w:type="dxa" w:w="1872"/>
            <w:shd w:fill="FFFFFF"/>
            <w:tcMar>
              <w:top w:w="70" w:type="dxa"/>
              <w:bottom w:w="70" w:type="dxa"/>
              <w:left w:w="120" w:type="dxa"/>
              <w:right w:w="120" w:type="dxa"/>
            </w:tcMar>
            <w:tcBorders>
              <w:top w:val="single" w:sz="4" w:space="0" w:color="CBD5E0"/>
              <w:left w:val="none"/>
              <w:bottom w:val="single" w:sz="4" w:space="0" w:color="CBD5E0"/>
              <w:right w:val="none"/>
            </w:tcBorders>
          </w:tcPr>
          <w:p>
            <w:pPr>
              <w:jc w:val="left"/>
            </w:pPr>
            <w:r>
              <w:rPr>
                <w:rFonts w:ascii="Arial" w:hAnsi="Arial"/>
                <w:color w:val="1E293B"/>
                <w:sz w:val="18"/>
              </w:rPr>
              <w:t>Entire Portfolio</w:t>
            </w:r>
          </w:p>
        </w:tc>
        <w:tc>
          <w:tcPr>
            <w:tcW w:type="dxa" w:w="1728"/>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$220,000 Budget</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$1,375,000 Saved</w:t>
            </w:r>
          </w:p>
        </w:tc>
        <w:tc>
          <w:tcPr>
            <w:tcW w:type="dxa" w:w="1584"/>
            <w:shd w:fill="FFFFFF"/>
            <w:tcMar>
              <w:top w:w="70" w:type="dxa"/>
              <w:bottom w:w="70" w:type="dxa"/>
              <w:left w:w="120" w:type="dxa"/>
              <w:right w:w="120" w:type="dxa"/>
            </w:tcMar>
            <w:tcBorders>
              <w:top w:val="single" w:sz="4" w:space="0" w:color="CBD5E0"/>
              <w:left w:val="none"/>
              <w:bottom w:val="single" w:sz="4" w:space="0" w:color="CBD5E0"/>
              <w:right w:val="none"/>
            </w:tcBorders>
          </w:tcPr>
          <w:p>
            <w:pPr>
              <w:jc w:val="right"/>
            </w:pPr>
            <w:r>
              <w:rPr>
                <w:rFonts w:ascii="Arial" w:hAnsi="Arial"/>
                <w:color w:val="1E293B"/>
                <w:sz w:val="18"/>
              </w:rPr>
              <w:t>+525% Net ROI</w:t>
            </w:r>
          </w:p>
        </w:tc>
      </w:tr>
    </w:tbl>
    <w:tbl>
      <w:tblPr>
        <w:tblW w:type="auto" w:w="0"/>
        <w:jc w:val="center"/>
        <w:tblLayout w:type="fixed"/>
        <w:tblLook w:firstColumn="1" w:firstRow="1" w:lastColumn="0" w:lastRow="0" w:noHBand="0" w:noVBand="1" w:val="04A0"/>
      </w:tblPr>
      <w:tblGrid>
        <w:gridCol w:w="9360"/>
      </w:tblGrid>
      <w:tr>
        <w:tc>
          <w:tcPr>
            <w:tcW w:type="dxa" w:w="9360"/>
            <w:shd w:fill="E6FFFA"/>
            <w:tcMar>
              <w:top w:w="140" w:type="dxa"/>
              <w:bottom w:w="140" w:type="dxa"/>
              <w:left w:w="200" w:type="dxa"/>
              <w:right w:w="200" w:type="dxa"/>
            </w:tcMar>
            <w:tcBorders>
              <w:top w:val="none"/>
              <w:left w:val="single" w:sz="36" w:space="0" w:color="0D9488"/>
              <w:bottom w:val="none"/>
              <w:right w:val="none"/>
            </w:tcBorders>
          </w:tcPr>
          <w:p>
            <w:pPr>
              <w:spacing w:before="0" w:after="80"/>
            </w:pPr>
            <w:r>
              <w:rPr>
                <w:rFonts w:ascii="Arial" w:hAnsi="Arial"/>
                <w:b/>
                <w:color w:val="0D9488"/>
                <w:sz w:val="20"/>
              </w:rPr>
              <w:t>[FINANCIAL ROI] CFO EXECUTIVE SUMMARY &amp; PAYBACK METRICS</w:t>
              <w:br/>
            </w:r>
            <w:r>
              <w:rPr>
                <w:rFonts w:ascii="Arial" w:hAnsi="Arial"/>
                <w:i/>
                <w:color w:val="1E293B"/>
                <w:sz w:val="19"/>
              </w:rPr>
              <w:t>Total 12-Month Investment: $220,000</w:t>
              <w:br/>
              <w:t>Total Annual Recurring Revenue Protected: $1,375,000</w:t>
              <w:br/>
              <w:t>Net Commercial Gain in Year 1: $1,155,000</w:t>
              <w:br/>
              <w:t>Net Return on Retention Investment (RORI): +525%</w:t>
              <w:br/>
              <w:t>Capital Payback Period: 1.9 Months</w:t>
            </w:r>
          </w:p>
        </w:tc>
      </w:tr>
    </w:tbl>
    <w:p>
      <w:pPr>
        <w:spacing w:before="0" w:after="80"/>
      </w:pPr>
    </w:p>
    <w:p>
      <w:pPr>
        <w:spacing w:before="320" w:after="120"/>
      </w:pPr>
      <w:r>
        <w:rPr>
          <w:b/>
          <w:color w:val="1B365D"/>
          <w:sz w:val="30"/>
        </w:rPr>
        <w:t>9.0 LIMITATIONS, ETHICAL AI GOVERNANCE &amp; FUTURE ROADMAP</w:t>
      </w:r>
    </w:p>
    <w:p>
      <w:pPr>
        <w:spacing w:before="0" w:after="120" w:line="276" w:lineRule="auto"/>
      </w:pPr>
      <w:r>
        <w:t>Responsible AI deployment requires strict ethical governance and a clear architectural roadmap:</w:t>
        <w:br/>
        <w:br/>
        <w:t>1. Anti-Discrimination Governance: Statistical analysis revealed that Senior Citizens face elevated churn odds (AOR = 1.50, p &lt; 0.001). Under consumer protection guidelines, age-based attributes must never be utilized to restrict service access, impose price penalties, or automate service cancellations. Senior status must be used exclusively to provide positive interventions—such as dedicated phone support.</w:t>
        <w:br/>
        <w:br/>
        <w:t>2. Observational Limitations: The dataset is cross-sectional. While statistical associations are established, definitive causality requires staged A/B testing on marketing incentives before universal rollout.</w:t>
        <w:br/>
        <w:br/>
        <w:t>3. Real-Time MLOps Architecture: The future roadmap entails deploying a real-time streaming feature store (integrating router latency, support chat transcripts, and payment retry signals) paired with automated Kolmogorov-Smirnov drift detection for quarterly model retraining.</w:t>
      </w:r>
    </w:p>
    <w:p>
      <w:pPr>
        <w:spacing w:before="320" w:after="120"/>
      </w:pPr>
      <w:r>
        <w:rPr>
          <w:b/>
          <w:color w:val="1B365D"/>
          <w:sz w:val="30"/>
        </w:rPr>
        <w:t>10.0 CONCLUSION &amp; COMPLETE FIVE-WEEK PROGRAM RETROSPECTIVE</w:t>
      </w:r>
    </w:p>
    <w:p>
      <w:pPr>
        <w:spacing w:before="0" w:after="120" w:line="276" w:lineRule="auto"/>
      </w:pPr>
      <w:r>
        <w:t>This Capstone Report concludes an end-to-end data science initiative: uniting data cleaning, visual storytelling, inferential statistics, machine learning, and executive financial modeling into an actionable commercial roadmap. By grounding corporate strategy in mathematical evidence, the enterprise can reverse silent customer defection, protect $1.375 million in ARR, and establish a scalable framework for sustainable long-term growth.</w:t>
      </w:r>
    </w:p>
    <w:p>
      <w:pPr>
        <w:spacing w:before="320" w:after="120"/>
      </w:pPr>
      <w:r>
        <w:rPr>
          <w:b/>
          <w:color w:val="1B365D"/>
          <w:sz w:val="30"/>
        </w:rPr>
        <w:t>APPENDIX: MASTER REPRODUCIBLE CODE ARCHITECTURE</w:t>
      </w:r>
    </w:p>
    <w:p>
      <w:pPr>
        <w:spacing w:before="0" w:after="120" w:line="276" w:lineRule="auto"/>
      </w:pPr>
      <w:r>
        <w:t>Below is the master execution script demonstrating the end-to-end integration of data preparation, machine learning, and cost optimization:</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8" w:space="0" w:color="CBD5E0"/>
              <w:left w:val="single" w:sz="8" w:space="0" w:color="CBD5E0"/>
              <w:bottom w:val="single" w:sz="8" w:space="0" w:color="CBD5E0"/>
              <w:right w:val="single" w:sz="8" w:space="0" w:color="CBD5E0"/>
            </w:tcBorders>
          </w:tcPr>
          <w:p>
            <w:pPr>
              <w:spacing w:before="0" w:after="0" w:line="252" w:lineRule="auto"/>
            </w:pPr>
            <w:r>
              <w:rPr>
                <w:rFonts w:ascii="Consolas" w:hAnsi="Consolas"/>
                <w:color w:val="64748B"/>
                <w:sz w:val="17"/>
              </w:rPr>
              <w:t># [Python Architecture Engine]</w:t>
              <w:br/>
            </w:r>
            <w:r>
              <w:rPr>
                <w:rFonts w:ascii="Consolas" w:hAnsi="Consolas"/>
                <w:color w:val="24292F"/>
                <w:sz w:val="17"/>
              </w:rPr>
              <w:t># Master End-to-End Enterprise Data Science Engine</w:t>
              <w:br/>
              <w:t>import pandas as pd</w:t>
              <w:br/>
              <w:t>import numpy as np</w:t>
              <w:br/>
              <w:t>from sklearn.model_selection import train_test_split, StratifiedKFold</w:t>
              <w:br/>
              <w:t>from sklearn.preprocessing import StandardScaler</w:t>
              <w:br/>
              <w:t>from sklearn.ensemble import GradientBoostingClassifier</w:t>
              <w:br/>
              <w:t>from sklearn.metrics import roc_auc_score, confusion_matrix</w:t>
              <w:br/>
              <w:br/>
              <w:t># 1. Forensic Data Ingestion &amp; Leakage-Free Preprocessing</w:t>
              <w:br/>
              <w:t>df = pd.read_csv('cleaned_telco_churn.csv')</w:t>
              <w:br/>
              <w:t>y = (df['Churn'] == 'Yes').astype(int)</w:t>
              <w:br/>
              <w:t>X = pd.get_dummies(df.drop(columns=['customerID', 'Churn']), drop_first=True)</w:t>
              <w:br/>
              <w:br/>
              <w:t>X_train, X_test, y_train, y_test = train_test_split(</w:t>
              <w:br/>
              <w:t xml:space="preserve">    X, y, test_size=0.20, stratify=y, random_state=42</w:t>
              <w:br/>
              <w:t>)</w:t>
              <w:br/>
              <w:t>scaler = StandardScaler()</w:t>
              <w:br/>
              <w:t>X_train[['tenure', 'MonthlyCharges', 'TotalCharges']] = scaler.fit_transform(X_train[['tenure', 'MonthlyCharges', 'TotalCharges']])</w:t>
              <w:br/>
              <w:t>X_test[['tenure', 'MonthlyCharges', 'TotalCharges']] = scaler.transform(X_test[['tenure', 'MonthlyCharges', 'TotalCharges']])</w:t>
              <w:br/>
              <w:br/>
              <w:t># 2. Champion Model Training (Gradient Boosting)</w:t>
              <w:br/>
              <w:t>model = GradientBoostingClassifier(n_estimators=100, learning_rate=0.1, max_depth=3, random_state=42)</w:t>
              <w:br/>
              <w:t>model.fit(X_train, y_train)</w:t>
              <w:br/>
              <w:br/>
              <w:t># 3. Asymmetric Cost-Optimized Inference (p* = 0.23)</w:t>
              <w:br/>
              <w:t>y_proba = model.predict_proba(X_test)[:, 1]</w:t>
              <w:br/>
              <w:t>y_pred_opt = (y_proba &gt;= 0.23).astype(int)</w:t>
              <w:br/>
              <w:br/>
              <w:t># 4. Impact: Slashes FN from 184 to 63, saving $82,560 (43.5% cost reduction)</w:t>
              <w:br/>
              <w:t>print(f"Test ROC-AUC: {roc_auc_score(y_test, y_proba):.4f}")</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