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C8C77" w14:textId="77777777" w:rsidR="00F46F10" w:rsidRDefault="00000000">
      <w:pPr>
        <w:spacing w:after="80"/>
        <w:jc w:val="center"/>
      </w:pPr>
      <w:r>
        <w:rPr>
          <w:b/>
          <w:bCs/>
          <w:caps/>
          <w:color w:val="808080"/>
          <w:sz w:val="20"/>
          <w:szCs w:val="20"/>
        </w:rPr>
        <w:t>EDITORIAL</w:t>
      </w:r>
    </w:p>
    <w:p w14:paraId="4DDC8C78" w14:textId="77777777" w:rsidR="00F46F10" w:rsidRDefault="00000000">
      <w:pPr>
        <w:spacing w:after="120"/>
        <w:jc w:val="center"/>
      </w:pPr>
      <w:r>
        <w:rPr>
          <w:b/>
          <w:bCs/>
          <w:color w:val="1F3864"/>
          <w:sz w:val="32"/>
          <w:szCs w:val="32"/>
        </w:rPr>
        <w:t>When Cancer Therapy Becomes an Immune Reset: CAR T-Cell Therapy for Autoimmune Disease</w:t>
      </w:r>
    </w:p>
    <w:p w14:paraId="4DDC8C79" w14:textId="77777777" w:rsidR="00F46F10" w:rsidRDefault="00000000">
      <w:pPr>
        <w:spacing w:after="200"/>
        <w:jc w:val="center"/>
      </w:pPr>
      <w:r>
        <w:rPr>
          <w:i/>
          <w:iCs/>
          <w:color w:val="595959"/>
          <w:sz w:val="22"/>
          <w:szCs w:val="22"/>
        </w:rPr>
        <w:t>A critical appraisal of the evidence for CD19 CAR T-cell therapy in lupus, myositis, and systemic sclerosis</w:t>
      </w:r>
    </w:p>
    <w:p w14:paraId="4DDC8C7A" w14:textId="77777777" w:rsidR="00F46F10" w:rsidRDefault="00000000">
      <w:pPr>
        <w:spacing w:after="40"/>
        <w:jc w:val="center"/>
      </w:pPr>
      <w:r>
        <w:rPr>
          <w:b/>
          <w:bCs/>
          <w:sz w:val="22"/>
          <w:szCs w:val="22"/>
        </w:rPr>
        <w:t>Anmol Kumar Pathak</w:t>
      </w:r>
    </w:p>
    <w:p w14:paraId="4DDC8C7B" w14:textId="77777777" w:rsidR="00F46F10" w:rsidRDefault="00000000">
      <w:pPr>
        <w:spacing w:after="360"/>
        <w:jc w:val="center"/>
      </w:pPr>
      <w:r>
        <w:rPr>
          <w:color w:val="595959"/>
          <w:sz w:val="21"/>
          <w:szCs w:val="21"/>
        </w:rPr>
        <w:t>Medical Biotechnology, Specialization in Bioinformatics — 1st Year</w:t>
      </w:r>
    </w:p>
    <w:p w14:paraId="4DDC8C7C" w14:textId="77777777" w:rsidR="00F46F10" w:rsidRDefault="00000000">
      <w:pPr>
        <w:pStyle w:val="Heading1"/>
        <w:spacing w:before="320" w:after="160"/>
      </w:pPr>
      <w:r>
        <w:rPr>
          <w:b/>
          <w:bCs/>
          <w:color w:val="1F3864"/>
          <w:sz w:val="28"/>
          <w:szCs w:val="28"/>
        </w:rPr>
        <w:t>Introduction</w:t>
      </w:r>
    </w:p>
    <w:p w14:paraId="36A4F3B3" w14:textId="77777777" w:rsidR="00BB3587" w:rsidRPr="00BB3587" w:rsidRDefault="00BB3587" w:rsidP="00BB3587">
      <w:pPr>
        <w:spacing w:after="200" w:line="300" w:lineRule="auto"/>
        <w:jc w:val="both"/>
      </w:pPr>
      <w:r>
        <w:t>Chimeric antigen receptor (CAR) T-cell therapy was designed for cancer. It’s designed to find and kill CD19-positive B-cell cancers and is one of oncology’s true success stories, putting some patients with otherwise fatal leukemias and lymphomas into long-term remission. [1] But in recent years, a small group of rheumatologists and hematologists have been asking a different question: What if the same technology could be used against the malfunction of the immune system itself, rather than a tumor?</w:t>
      </w:r>
    </w:p>
    <w:p w14:paraId="22F098C7" w14:textId="77777777" w:rsidR="002E67ED" w:rsidRDefault="002E67ED" w:rsidP="002E67ED">
      <w:pPr>
        <w:spacing w:after="200" w:line="300" w:lineRule="auto"/>
        <w:jc w:val="both"/>
      </w:pPr>
      <w:r>
        <w:t>The logic is simple. Diseases such as systemic lupus erythematosus (SLE), idiopathic inflammatory myositis and systemic sclerosis are at least in part mediated by autoreactive B cells that produce antibodies against self-tissues. Standard treatment is based on broad long-term immunosuppression, and targeted B-cell-depleting antibodies such as rituximab, while helpful, seldom eradicate autoreactive clones that reside in lymph nodes and inflamed tissue. [2] CAR T-cells, by contrast, can be engineered to seek out and destroy CD19-bearing B cells throughout the body, to a degree that antibody therapy can rarely rival. [2]</w:t>
      </w:r>
    </w:p>
    <w:p w14:paraId="43934530" w14:textId="195EC16F" w:rsidR="008A5E47" w:rsidRDefault="008A5E47" w:rsidP="002E67ED">
      <w:pPr>
        <w:spacing w:after="200" w:line="300" w:lineRule="auto"/>
        <w:jc w:val="both"/>
      </w:pPr>
      <w:r>
        <w:t>A key 2024 case series study by a group of researchers based in Germany, including Georg Schett and Fabian Müller, from the New England Journal of Medicine provided scientific support for this hypothesis. [3] In fifteen patients with severe, refractory SLE, myositis, or systemic sclerosis, one-time administration of CD19-targeted CAR T cells was followed by cessation of all immunosuppressive therapy rather than gradual progress towards health along with disease remission. [3] The pace of research development after that has been impressive with emerging clinical trials taking place in Europe, the United States, and China and new sponsors competing in implementing this novel approach. [4] This editorial examines the evidence behind the hypothesis, the expectations that currently outrun it, and what would have to be shown before the treatment becomes more than experimental.</w:t>
      </w:r>
    </w:p>
    <w:p w14:paraId="04B3344C" w14:textId="77777777" w:rsidR="00E345C8" w:rsidRPr="002E67ED" w:rsidRDefault="00E345C8" w:rsidP="002E67ED">
      <w:pPr>
        <w:spacing w:after="200" w:line="300" w:lineRule="auto"/>
        <w:jc w:val="both"/>
      </w:pPr>
    </w:p>
    <w:p w14:paraId="4DDC8C80" w14:textId="77777777" w:rsidR="00F46F10" w:rsidRDefault="00000000">
      <w:pPr>
        <w:pStyle w:val="Heading1"/>
        <w:spacing w:before="320" w:after="160"/>
      </w:pPr>
      <w:r>
        <w:rPr>
          <w:b/>
          <w:bCs/>
          <w:color w:val="1F3864"/>
          <w:sz w:val="28"/>
          <w:szCs w:val="28"/>
        </w:rPr>
        <w:lastRenderedPageBreak/>
        <w:t>Analysis</w:t>
      </w:r>
    </w:p>
    <w:p w14:paraId="1812DBB1" w14:textId="5A3704DE" w:rsidR="00034FDC" w:rsidRDefault="00034FDC">
      <w:pPr>
        <w:spacing w:after="200" w:line="300" w:lineRule="auto"/>
        <w:jc w:val="both"/>
      </w:pPr>
      <w:r>
        <w:t>In support of CAR T-cell therapy as a possible mechanistic treatment for autoimmune disease, there is only one concept: depth. Rituximab effectively clears circulating CD20+ B cells but not tissue-resident and lymphoid organ B cells, which could be a reason for relapse in the period following drug action. [2] By contrast, CAR T-cells that are genetically engineered from a patient's T lymphocytes and introduced after chemotherapy with fludarabine and cyclophosphamide, are capable of trafficking into tissues and clearing B cells in a much more thorough manner. [3] The idea behind this therapy, sometimes referred to as the ‘immune reset,’ is that elimination of the autoreactive B-cell population at its root will enable the immune system to restore its naive non-autoreactive repertoire when B cells return. [2]</w:t>
      </w:r>
    </w:p>
    <w:p w14:paraId="6780465D" w14:textId="3D1B7EA4" w:rsidR="00C24792" w:rsidRDefault="007D60F4">
      <w:pPr>
        <w:spacing w:after="200" w:line="300" w:lineRule="auto"/>
        <w:jc w:val="both"/>
      </w:pPr>
      <w:r>
        <w:t>It is in this study by Müller and Schett that this hypothesis has undergone its most stringent test to date. Among the fifteen patients analyzed, each of whom had previously tried a median of five different treatments for his or her condition, all lupus erythematosus patients achieved remission, all myositis patients showed major improvement, and all systemic sclerosis patients saw their disease activity score decrease. [3] Moreover, all fifteen patients stopped taking all of their immunosuppressants, with the remission continuing throughout the fifteen-month period during which they were followed. [3] B-cell aplasia persisted for an average of about three months, after which the B-cells re-populated, but in this case, they seemed naïve rather than autoreactive — further evidence in favor of the 'reset' hypothesis rather than depletion. [3]</w:t>
      </w:r>
    </w:p>
    <w:p w14:paraId="575FAFE2" w14:textId="488D3520" w:rsidR="008A0ED0" w:rsidRDefault="008A0ED0">
      <w:pPr>
        <w:spacing w:after="200" w:line="300" w:lineRule="auto"/>
        <w:jc w:val="both"/>
      </w:pPr>
      <w:r>
        <w:t>The current series was preceded by a pilot study involving the first human application of CD19 CAR T-cell therapy in a patient with severe lupus in 2022, [5] followed by another case report, this time involving CD19 CAR T-cells in systemic sclerosis in 2023. [6] Subsequent developments have expanded on the findings. At the 2026 European Congress of Rheumatology, an English clinical trial with a distinct version of the CD19 CAR T-cells reported that most participants in the low-dose group entered remission from lupus with a good early safety record, thus demonstrating generalizability of the approach beyond the original German version. [7] Other research groups are working on versions that target both CD19 and BCMA so as to eliminate autoreactive plasma cells devoid of CD19, newer versions of the manufacturing platform to speed up the process, and allogeneic, 'ready-to-use' CAR T-cells which will not necessitate collection and manipulation of cells from every individual patient. [4,</w:t>
      </w:r>
      <w:proofErr w:type="gramStart"/>
      <w:r>
        <w:t>8]Some</w:t>
      </w:r>
      <w:proofErr w:type="gramEnd"/>
      <w:r>
        <w:t xml:space="preserve"> major pharma companies, including those who have shifted their focus from oncology to autoimmune diseases, currently have CAR T-cell therapies for autoimmune diseases in early clinical development, and at least one of them has obtained the expedited development designation. [9]</w:t>
      </w:r>
    </w:p>
    <w:p w14:paraId="4DDC8C84" w14:textId="77777777" w:rsidR="00F46F10" w:rsidRDefault="00000000">
      <w:pPr>
        <w:pStyle w:val="Heading1"/>
        <w:spacing w:before="320" w:after="160"/>
      </w:pPr>
      <w:r>
        <w:rPr>
          <w:b/>
          <w:bCs/>
          <w:color w:val="1F3864"/>
          <w:sz w:val="28"/>
          <w:szCs w:val="28"/>
        </w:rPr>
        <w:t>Critical Evaluation</w:t>
      </w:r>
    </w:p>
    <w:p w14:paraId="12C399CC" w14:textId="0F0D7075" w:rsidR="001C29EA" w:rsidRDefault="001C29EA">
      <w:pPr>
        <w:spacing w:after="200" w:line="300" w:lineRule="auto"/>
        <w:jc w:val="both"/>
      </w:pPr>
      <w:r>
        <w:t xml:space="preserve">The excitement is understandable, but several issues in the evidence base need to be addressed before </w:t>
      </w:r>
      <w:proofErr w:type="gramStart"/>
      <w:r>
        <w:t>this counts</w:t>
      </w:r>
      <w:proofErr w:type="gramEnd"/>
      <w:r>
        <w:t xml:space="preserve"> as a breakthrough rather than an interesting hypothesis generator.</w:t>
      </w:r>
    </w:p>
    <w:p w14:paraId="29054428" w14:textId="77777777" w:rsidR="006E10FD" w:rsidRDefault="006E10FD">
      <w:pPr>
        <w:spacing w:after="200" w:line="300" w:lineRule="auto"/>
        <w:jc w:val="both"/>
      </w:pPr>
      <w:r>
        <w:t>The first and foremost is the study design. All of the literature available on humans is based on small open-label single arm-case series – fifteen patients in one study, a few others in another – without any control group or blinding. Disease activity measures in lupus, myositis, and scleroderma carry a subjective element, and both patient and physician know that an experimental cell therapy has been given. At least some of the observed improvement can be attributed to the regression to the mean, selection of the more receptive patients, or mere placebo effect. Without randomized controls, none of these can be separated from a true treatment effect.</w:t>
      </w:r>
    </w:p>
    <w:p w14:paraId="4DDC8C87" w14:textId="15D67F7B" w:rsidR="00F46F10" w:rsidRDefault="00E67026">
      <w:pPr>
        <w:spacing w:after="200" w:line="300" w:lineRule="auto"/>
        <w:jc w:val="both"/>
      </w:pPr>
      <w:r>
        <w:t>Two, there is still the question of durability. The median follow-up time in the original case series was around fifteen months, while the follow-up period extended to two and a half years in the maximum. [3,</w:t>
      </w:r>
      <w:proofErr w:type="gramStart"/>
      <w:r>
        <w:t>4]This</w:t>
      </w:r>
      <w:proofErr w:type="gramEnd"/>
      <w:r>
        <w:t xml:space="preserve"> is sufficient to show that the treatment is not simply temporary suppression of the flares, but far from sufficient to know whether the “drug free remission” would be maintained for five to ten years, or whether there would be emergence of autoreactive B cell clones when the compartment gets replenished. [4] Calling it a cure at this stage is definitely premature.</w:t>
      </w:r>
    </w:p>
    <w:p w14:paraId="4DDC8C88" w14:textId="2A21B29C" w:rsidR="00F46F10" w:rsidRDefault="001436B0">
      <w:pPr>
        <w:spacing w:after="200" w:line="300" w:lineRule="auto"/>
        <w:jc w:val="both"/>
      </w:pPr>
      <w:r>
        <w:t>Third, even a favorable toxicity profile – relatively benign for an oncologic agent – does not necessarily constitute an appropriate trade-off in the case of a non-cancerous disease. In the German study, most patients exhibited some degree of CRS, as well as occasional incidences of CRS of higher grades, neurotoxicity, and infection necessitating hospitalization. [</w:t>
      </w:r>
      <w:proofErr w:type="gramStart"/>
      <w:r>
        <w:t>3]The</w:t>
      </w:r>
      <w:proofErr w:type="gramEnd"/>
      <w:r>
        <w:t xml:space="preserve"> chemotherapy regime itself is not without risk. Accepting chemotherapy and cell therapy, with their attendant toxicity, is a very different decision for a patient with lupus than for one with leukemia.</w:t>
      </w:r>
    </w:p>
    <w:p w14:paraId="62DBE67B" w14:textId="02A79E9F" w:rsidR="00CC4D31" w:rsidRDefault="00CC4D31">
      <w:pPr>
        <w:spacing w:after="200" w:line="300" w:lineRule="auto"/>
        <w:jc w:val="both"/>
      </w:pPr>
      <w:r>
        <w:t>Fourth, and potentially the most important for a realistic evaluation of the feasibility of translation, is the issue of scale. Therapies for oncological CAR T-cell therapies treat populations in the low thousands annually and are currently limited by manufacturing capability, at costs in the high hundreds of thousands of dollars per treatment. [10] Lupus alone affects over a million people in the United States. [11] A personalized process of collecting a patient’s T cells, shipping them to a specialized facility, engineering and expanding them, and reinfusing them weeks later is not realistically scalable to a patient base two to three orders of magnitude larger without a new approach to manufacturing. The gap between showing a therapy works in fifteen hand-picked patients at a few academic centers and delivering it to everyone who needs it is large, and current trial processes do not adequately address it. Adding further weight to this uncertainty, one commercial autoimmune CAR T-cell project has already been halted based on a strategy reconsideration only. [12]</w:t>
      </w:r>
    </w:p>
    <w:p w14:paraId="4DDC8C8A" w14:textId="77777777" w:rsidR="00F46F10" w:rsidRDefault="00000000">
      <w:pPr>
        <w:pStyle w:val="Heading1"/>
        <w:spacing w:before="320" w:after="160"/>
      </w:pPr>
      <w:r>
        <w:rPr>
          <w:b/>
          <w:bCs/>
          <w:color w:val="1F3864"/>
          <w:sz w:val="28"/>
          <w:szCs w:val="28"/>
        </w:rPr>
        <w:t>Future Directions</w:t>
      </w:r>
    </w:p>
    <w:p w14:paraId="2E8C77B1" w14:textId="77777777" w:rsidR="007479CA" w:rsidRDefault="007479CA">
      <w:pPr>
        <w:spacing w:after="200" w:line="300" w:lineRule="auto"/>
        <w:jc w:val="both"/>
      </w:pPr>
      <w:r>
        <w:t>There are a number of things that would make a significant difference. Controlled randomized trials, preferably against an active comparator such as rituximab or belimumab rather than placebo, remain the most crucial next step; several academic and industry sponsors plan to run them in the coming years, and their results would show how much of the benefit belongs to the treatment and how much to patient selection. Follow-up lasting five years and longer will have to be performed to assess whether remission is truly durable or just delayed recurrence.</w:t>
      </w:r>
    </w:p>
    <w:p w14:paraId="4DDC8C8C" w14:textId="62A8E39C" w:rsidR="00F46F10" w:rsidRDefault="006E1A2D">
      <w:pPr>
        <w:spacing w:after="200" w:line="300" w:lineRule="auto"/>
        <w:jc w:val="both"/>
      </w:pPr>
      <w:r>
        <w:t>From the production point of view, allogeneic, off-the-shelf CAR T-cell therapies, employing donor cells that have been pre-engineered rather than individual T lymphocytes of each patient, could dramatically reduce the time frame and costs involved, thus solving the scalability issue; several such candidates are currently under study in patients with lupus and similar disorders. [8] Engineering aimed at reducing toxicity, such as antigen-targeting strategies that better distinguish diseased from normal tissue and constructs with transient effects, could improve the benefit-risk ratio for patients whose illness is not immediately life-threatening. Biomarkers that identify patients likely to achieve a durable response, rather than only initial depletion, would sharpen both trial design and eventual clinical use. Finally, with separate studies running in Germany, the United Kingdom, the United States, and China, targeting different antigens and using different manufacturing approaches, a coordinated approach to trial design could speed progress considerably. [4]</w:t>
      </w:r>
    </w:p>
    <w:p w14:paraId="4DDC8C8D" w14:textId="77777777" w:rsidR="00F46F10" w:rsidRDefault="00000000">
      <w:pPr>
        <w:pStyle w:val="Heading1"/>
        <w:spacing w:before="320" w:after="160"/>
      </w:pPr>
      <w:r>
        <w:rPr>
          <w:b/>
          <w:bCs/>
          <w:color w:val="1F3864"/>
          <w:sz w:val="28"/>
          <w:szCs w:val="28"/>
        </w:rPr>
        <w:t>Conclusion</w:t>
      </w:r>
    </w:p>
    <w:p w14:paraId="4DDC8C8E" w14:textId="7E729E6E" w:rsidR="00F46F10" w:rsidRDefault="00C36712">
      <w:pPr>
        <w:spacing w:after="200" w:line="300" w:lineRule="auto"/>
        <w:jc w:val="both"/>
      </w:pPr>
      <w:r>
        <w:t>CAR T-cell therapy targeting CD19 has generated some of the most impressive outcomes ever recorded for a single-patient or small-cohort intervention in rheumatology. The biological rationale for a ‘resetting’ of immunity is also a good one. However, the evidence available to date – small sample size, lack of control groups, short follow-up period, and a lack of independence from those pioneering the technology – does not quite rise to the level of proving that this intervention represents either an effective treatment or a cure. The same rigor that was ultimately required to demonstrate the value of CAR T-cells in oncology, years of randomized trials, long-term registries, and careful analysis of toxicities versus benefit needs to be brought to bear here – with the additional challenge that the eligible patient pool is much larger and that the underlying condition, while significant, is rarely immediately life-threatening. In that case, this may prove to be one of the most important breakthroughs in the treatment of autoimmune disorders in decades. Until then, cautious optimism is warranted.</w:t>
      </w:r>
    </w:p>
    <w:p w14:paraId="4DDC8C97" w14:textId="253FCE8D" w:rsidR="00F46F10" w:rsidRDefault="00F46F10" w:rsidP="008A0ED0">
      <w:pPr>
        <w:pStyle w:val="Heading1"/>
        <w:spacing w:before="320" w:after="160"/>
      </w:pPr>
    </w:p>
    <w:p w14:paraId="0492EF35" w14:textId="77777777" w:rsidR="00C62FC0" w:rsidRDefault="00000000">
      <w:pPr>
        <w:pStyle w:val="Heading1"/>
        <w:spacing w:before="320" w:after="160"/>
      </w:pPr>
      <w:r>
        <w:rPr>
          <w:b/>
          <w:bCs/>
          <w:color w:val="1F3864"/>
          <w:sz w:val="28"/>
          <w:szCs w:val="28"/>
        </w:rPr>
        <w:t>References</w:t>
      </w:r>
    </w:p>
    <w:p w14:paraId="13EF8465" w14:textId="77777777" w:rsidR="00C62FC0" w:rsidRDefault="00000000">
      <w:pPr>
        <w:spacing w:after="120" w:line="276" w:lineRule="auto"/>
        <w:ind w:left="360" w:hanging="360"/>
      </w:pPr>
      <w:r>
        <w:t>1. June CH, Sadelain M. Chimeric antigen receptor therapy. N Engl J Med. 2018;379(1):64-73. doi:10.1056/NEJMra1706169</w:t>
      </w:r>
    </w:p>
    <w:p w14:paraId="66B6DCBF" w14:textId="77777777" w:rsidR="00C62FC0" w:rsidRDefault="00000000">
      <w:pPr>
        <w:spacing w:after="120" w:line="276" w:lineRule="auto"/>
        <w:ind w:left="360" w:hanging="360"/>
      </w:pPr>
      <w:r>
        <w:t>2. Schett G, Mackensen A, Mougiakakos D. CAR T-cell therapy in autoimmune diseases. Lancet. 2023;402(10416):2034-2044. doi:10.1016/S0140-6736(23)01126-1</w:t>
      </w:r>
    </w:p>
    <w:p w14:paraId="103F8539" w14:textId="77777777" w:rsidR="00C62FC0" w:rsidRDefault="00000000">
      <w:pPr>
        <w:spacing w:after="120" w:line="276" w:lineRule="auto"/>
        <w:ind w:left="360" w:hanging="360"/>
      </w:pPr>
      <w:r>
        <w:t>3. Müller F, Taubmann J, Bucci L, et al. CD19 CAR T-cell therapy in autoimmune disease — a case series with follow-up. N Engl J Med. 2024;390(8):687-700. doi:10.1056/NEJMoa2308917</w:t>
      </w:r>
    </w:p>
    <w:p w14:paraId="6FE69C84" w14:textId="77777777" w:rsidR="00C62FC0" w:rsidRDefault="00000000">
      <w:pPr>
        <w:spacing w:after="120" w:line="276" w:lineRule="auto"/>
        <w:ind w:left="360" w:hanging="360"/>
      </w:pPr>
      <w:r>
        <w:t>4. RheumNow. CAR-T therapy: EULAR 2026 conference recap. Published July 2026. https://rheumnow.com/news/car-t-therapy-eular-2026-conference-recap</w:t>
      </w:r>
    </w:p>
    <w:p w14:paraId="7D0F78B9" w14:textId="77777777" w:rsidR="00C62FC0" w:rsidRDefault="00000000">
      <w:pPr>
        <w:spacing w:after="120" w:line="276" w:lineRule="auto"/>
        <w:ind w:left="360" w:hanging="360"/>
      </w:pPr>
      <w:r>
        <w:t>5. Mackensen A, Müller F, Mougiakakos D, et al. Anti-CD19 CAR T cell therapy for refractory systemic lupus erythematosus. Nat Med. 2022;28(10):2124-2132. doi:10.1038/s41591-022-02017-5</w:t>
      </w:r>
    </w:p>
    <w:p w14:paraId="55974C50" w14:textId="77777777" w:rsidR="00C62FC0" w:rsidRDefault="00000000">
      <w:pPr>
        <w:spacing w:after="120" w:line="276" w:lineRule="auto"/>
        <w:ind w:left="360" w:hanging="360"/>
      </w:pPr>
      <w:r>
        <w:t>6. Bergmann C, Müller F, Distler JHW, et al. Treatment of a patient with severe systemic sclerosis (SSc) using CD19-targeted CAR T cells. Ann Rheum Dis. 2023;82(8):1117-1120. doi:10.1136/ard-2023-223952</w:t>
      </w:r>
    </w:p>
    <w:p w14:paraId="285783B0" w14:textId="77777777" w:rsidR="00C62FC0" w:rsidRDefault="00000000">
      <w:pPr>
        <w:spacing w:after="120" w:line="276" w:lineRule="auto"/>
        <w:ind w:left="360" w:hanging="360"/>
      </w:pPr>
      <w:r>
        <w:t>7. University College London. CAR T-cell therapy shows early promise in severe lupus (CARLYSLE study of obecabtagene autoleucel, presented at EULAR 2026). UCL News. June 12, 2026. https://www.ucl.ac.uk/news/2026/jun/car-t-cell-therapy-shows-early-promise-severe-lupus</w:t>
      </w:r>
    </w:p>
    <w:p w14:paraId="4063BC9F" w14:textId="77777777" w:rsidR="00C62FC0" w:rsidRDefault="00000000">
      <w:pPr>
        <w:spacing w:after="120" w:line="276" w:lineRule="auto"/>
        <w:ind w:left="360" w:hanging="360"/>
      </w:pPr>
      <w:r>
        <w:t>8. Allogene Therapeutics. ALLO-329, an allogeneic CD19/CD70-directed CAR T cell candidate: RESOLUTION phase 1 rheumatology basket study. Quarterly report (Form 10-Q), 2026. https://www.sec.gov/Archives/edgar/data/0001737287/000162828026056213/allo-20260630.htm</w:t>
      </w:r>
    </w:p>
    <w:p w14:paraId="4D47F6C1" w14:textId="77777777" w:rsidR="00C62FC0" w:rsidRDefault="00000000">
      <w:pPr>
        <w:spacing w:after="120" w:line="276" w:lineRule="auto"/>
        <w:ind w:left="360" w:hanging="360"/>
      </w:pPr>
      <w:r>
        <w:t>9. Kyverna Therapeutics. Kyverna Therapeutics granted FDA Fast Track designation for KYV-101 in lupus nephritis. Press release. June 1, 2023. https://kyvernatx.com/press-releases/kyverna-granted-fda-fast-track-designation-for-kyv-101-in-lupus-nephritis/</w:t>
      </w:r>
    </w:p>
    <w:p w14:paraId="5CD21F88" w14:textId="77777777" w:rsidR="00C62FC0" w:rsidRDefault="00000000">
      <w:pPr>
        <w:spacing w:after="120" w:line="276" w:lineRule="auto"/>
        <w:ind w:left="360" w:hanging="360"/>
      </w:pPr>
      <w:r>
        <w:t>10. Fiorenza S, Ritchie DS, Ramsey SD, Turtle CJ, Roth JA. Value and affordability of CAR T-cell therapy in the United States. Bone Marrow Transplant. 2020;55(9):1706-1715. doi:10.1038/s41409-020-0956-8</w:t>
      </w:r>
    </w:p>
    <w:p w14:paraId="041080F2" w14:textId="77777777" w:rsidR="00C62FC0" w:rsidRDefault="00000000">
      <w:pPr>
        <w:spacing w:after="120" w:line="276" w:lineRule="auto"/>
        <w:ind w:left="360" w:hanging="360"/>
      </w:pPr>
      <w:r>
        <w:t>11. Lupus Foundation of America. Lupus facts and statistics. https://www.lupus.org/resources/lupus-facts-and-statistics</w:t>
      </w:r>
    </w:p>
    <w:p w14:paraId="082F83E8" w14:textId="77777777" w:rsidR="00C62FC0" w:rsidRDefault="00000000">
      <w:pPr>
        <w:spacing w:after="120" w:line="276" w:lineRule="auto"/>
        <w:ind w:left="360" w:hanging="360"/>
      </w:pPr>
      <w:r>
        <w:t>12. Caribou Biosciences. Caribou Biosciences announces strategic pipeline prioritization, including discontinuation of the GALLOP phase 1 trial of CB-010 in lupus. Form 8-K, April 24, 2025. https://www.sec.gov/Archives/edgar/data/1619856/000161985625000023/crbu-20250424.htm</w:t>
      </w:r>
    </w:p>
    <w:sectPr w:rsidR="00C62F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56B2D"/>
    <w:multiLevelType w:val="hybridMultilevel"/>
    <w:tmpl w:val="C3C00E74"/>
    <w:lvl w:ilvl="0" w:tplc="CD3C239A">
      <w:start w:val="1"/>
      <w:numFmt w:val="bullet"/>
      <w:lvlText w:val="●"/>
      <w:lvlJc w:val="left"/>
      <w:pPr>
        <w:ind w:left="720" w:hanging="360"/>
      </w:pPr>
    </w:lvl>
    <w:lvl w:ilvl="1" w:tplc="3DF8AD36">
      <w:start w:val="1"/>
      <w:numFmt w:val="bullet"/>
      <w:lvlText w:val="○"/>
      <w:lvlJc w:val="left"/>
      <w:pPr>
        <w:ind w:left="1440" w:hanging="360"/>
      </w:pPr>
    </w:lvl>
    <w:lvl w:ilvl="2" w:tplc="7C589FF6">
      <w:start w:val="1"/>
      <w:numFmt w:val="bullet"/>
      <w:lvlText w:val="■"/>
      <w:lvlJc w:val="left"/>
      <w:pPr>
        <w:ind w:left="2160" w:hanging="360"/>
      </w:pPr>
    </w:lvl>
    <w:lvl w:ilvl="3" w:tplc="26C6EE26">
      <w:start w:val="1"/>
      <w:numFmt w:val="bullet"/>
      <w:lvlText w:val="●"/>
      <w:lvlJc w:val="left"/>
      <w:pPr>
        <w:ind w:left="2880" w:hanging="360"/>
      </w:pPr>
    </w:lvl>
    <w:lvl w:ilvl="4" w:tplc="EAA43008">
      <w:start w:val="1"/>
      <w:numFmt w:val="bullet"/>
      <w:lvlText w:val="○"/>
      <w:lvlJc w:val="left"/>
      <w:pPr>
        <w:ind w:left="3600" w:hanging="360"/>
      </w:pPr>
    </w:lvl>
    <w:lvl w:ilvl="5" w:tplc="314A2AA8">
      <w:start w:val="1"/>
      <w:numFmt w:val="bullet"/>
      <w:lvlText w:val="■"/>
      <w:lvlJc w:val="left"/>
      <w:pPr>
        <w:ind w:left="4320" w:hanging="360"/>
      </w:pPr>
    </w:lvl>
    <w:lvl w:ilvl="6" w:tplc="F120154E">
      <w:start w:val="1"/>
      <w:numFmt w:val="bullet"/>
      <w:lvlText w:val="●"/>
      <w:lvlJc w:val="left"/>
      <w:pPr>
        <w:ind w:left="5040" w:hanging="360"/>
      </w:pPr>
    </w:lvl>
    <w:lvl w:ilvl="7" w:tplc="DA34B014">
      <w:start w:val="1"/>
      <w:numFmt w:val="bullet"/>
      <w:lvlText w:val="●"/>
      <w:lvlJc w:val="left"/>
      <w:pPr>
        <w:ind w:left="5760" w:hanging="360"/>
      </w:pPr>
    </w:lvl>
    <w:lvl w:ilvl="8" w:tplc="A0742FCE">
      <w:start w:val="1"/>
      <w:numFmt w:val="bullet"/>
      <w:lvlText w:val="●"/>
      <w:lvlJc w:val="left"/>
      <w:pPr>
        <w:ind w:left="6480" w:hanging="360"/>
      </w:pPr>
    </w:lvl>
  </w:abstractNum>
  <w:num w:numId="1" w16cid:durableId="1172449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F10"/>
    <w:rsid w:val="00034FDC"/>
    <w:rsid w:val="001436B0"/>
    <w:rsid w:val="00160265"/>
    <w:rsid w:val="001C29EA"/>
    <w:rsid w:val="002E67ED"/>
    <w:rsid w:val="005F2898"/>
    <w:rsid w:val="00664818"/>
    <w:rsid w:val="006E10FD"/>
    <w:rsid w:val="006E1A2D"/>
    <w:rsid w:val="007479CA"/>
    <w:rsid w:val="007D60F4"/>
    <w:rsid w:val="008838E5"/>
    <w:rsid w:val="008A0ED0"/>
    <w:rsid w:val="008A5E47"/>
    <w:rsid w:val="00BB3587"/>
    <w:rsid w:val="00C24792"/>
    <w:rsid w:val="00C36712"/>
    <w:rsid w:val="00C62FC0"/>
    <w:rsid w:val="00C956F8"/>
    <w:rsid w:val="00CC1EEA"/>
    <w:rsid w:val="00CC4D31"/>
    <w:rsid w:val="00D33952"/>
    <w:rsid w:val="00DA4600"/>
    <w:rsid w:val="00E345C8"/>
    <w:rsid w:val="00E67026"/>
    <w:rsid w:val="00F46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C8C77"/>
  <w15:docId w15:val="{2920DB1F-614E-4129-A091-BF34A04C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2018</Words>
  <Characters>11509</Characters>
  <Application>Microsoft Office Word</Application>
  <DocSecurity>0</DocSecurity>
  <Lines>95</Lines>
  <Paragraphs>26</Paragraphs>
  <ScaleCrop>false</ScaleCrop>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Pathak</cp:lastModifiedBy>
  <cp:revision>23</cp:revision>
  <dcterms:created xsi:type="dcterms:W3CDTF">2026-09-18T04:24:00Z</dcterms:created>
  <dcterms:modified xsi:type="dcterms:W3CDTF">2026-09-18T10:38:00Z</dcterms:modified>
</cp:coreProperties>
</file>