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381F" w14:textId="77777777" w:rsidR="005A773F" w:rsidRDefault="00F73C30">
      <w:pPr>
        <w:spacing w:after="100"/>
        <w:jc w:val="center"/>
      </w:pPr>
      <w:r>
        <w:rPr>
          <w:b/>
          <w:bCs/>
          <w:sz w:val="32"/>
          <w:szCs w:val="32"/>
        </w:rPr>
        <w:t>Week 6 Task: Reflective Analysis &amp; Improved Draft</w:t>
      </w:r>
    </w:p>
    <w:p w14:paraId="46253820" w14:textId="77777777" w:rsidR="005A773F" w:rsidRDefault="00F73C30">
      <w:pPr>
        <w:spacing w:after="100"/>
        <w:jc w:val="center"/>
      </w:pPr>
      <w:r>
        <w:rPr>
          <w:b/>
          <w:bCs/>
          <w:sz w:val="26"/>
          <w:szCs w:val="26"/>
        </w:rPr>
        <w:t>Medical Writing Internship</w:t>
      </w:r>
    </w:p>
    <w:p w14:paraId="46253821" w14:textId="77777777" w:rsidR="005A773F" w:rsidRDefault="00F73C30">
      <w:pPr>
        <w:spacing w:after="400"/>
        <w:jc w:val="center"/>
      </w:pPr>
      <w:r>
        <w:rPr>
          <w:i/>
          <w:iCs/>
          <w:color w:val="555555"/>
          <w:sz w:val="22"/>
          <w:szCs w:val="22"/>
        </w:rPr>
        <w:t>Anmol Kumar Pathak  |  B.Sc. Medical Biotechnology (Specialization in Bioinformatics)</w:t>
      </w:r>
    </w:p>
    <w:p w14:paraId="46253822" w14:textId="77777777" w:rsidR="005A773F" w:rsidRDefault="00F73C30">
      <w:pPr>
        <w:pStyle w:val="Heading1"/>
        <w:spacing w:before="320" w:after="160"/>
      </w:pPr>
      <w:r>
        <w:rPr>
          <w:b/>
          <w:bCs/>
        </w:rPr>
        <w:t>Part 1: Reflective Analysis</w:t>
      </w:r>
    </w:p>
    <w:p w14:paraId="46253823" w14:textId="02904D35" w:rsidR="005A773F" w:rsidRDefault="007D202D">
      <w:pPr>
        <w:spacing w:after="200" w:line="300" w:lineRule="auto"/>
        <w:jc w:val="both"/>
      </w:pPr>
      <w:r w:rsidRPr="007D202D">
        <w:t xml:space="preserve">In the last six weeks of my internship in medical writing, I have written five documents from the very different genres of medical communication – a literature review on mRNA drugs for treating rare liver disease in Week 1, a plain language patient guide on asthma, the methodology and statistics section of a clinical study report on the use of chewing gum after caesarean delivery, an editorial critique on CAR T-cell treatment of autoimmune diseases, and finally, a summary of a clinical trial protocol. Looking back over these five documents as a whole instead of separately when each one was turned in has taught me more than I expected since one or two mistakes seem to pop up repeatedly in almost </w:t>
      </w:r>
      <w:proofErr w:type="spellStart"/>
      <w:r w:rsidRPr="007D202D">
        <w:t>every one</w:t>
      </w:r>
      <w:proofErr w:type="spellEnd"/>
      <w:r w:rsidRPr="007D202D">
        <w:t>.</w:t>
      </w:r>
    </w:p>
    <w:p w14:paraId="46253824" w14:textId="77777777" w:rsidR="005A773F" w:rsidRDefault="00F73C30">
      <w:pPr>
        <w:pStyle w:val="Heading2"/>
        <w:spacing w:before="240" w:after="120"/>
      </w:pPr>
      <w:r>
        <w:rPr>
          <w:b/>
          <w:bCs/>
        </w:rPr>
        <w:t>Self-Assessment</w:t>
      </w:r>
    </w:p>
    <w:p w14:paraId="44F48D76" w14:textId="77777777" w:rsidR="00FE64AB" w:rsidRDefault="00FE64AB" w:rsidP="00FE64AB">
      <w:pPr>
        <w:spacing w:after="200" w:line="300" w:lineRule="auto"/>
        <w:jc w:val="both"/>
      </w:pPr>
      <w:r>
        <w:t xml:space="preserve">The literature review of lipid nanoparticle mRNA therapy had a good structure for an initial submission – it included an abstract, a mechanism explanation, and a summary of trials of mRNA-3705 and mRNA-3927 – but remained descriptive instead of critically assessing the evidence. When addressing the issue of the body’s immune response in case of repeated LNP administrations, I mentioned it as a “safety concern” without providing any reported figures or comparing rates for both drug development </w:t>
      </w:r>
      <w:proofErr w:type="spellStart"/>
      <w:r>
        <w:t>programmes</w:t>
      </w:r>
      <w:proofErr w:type="spellEnd"/>
      <w:r>
        <w:t>, which was precisely the point raised by the evaluator.</w:t>
      </w:r>
    </w:p>
    <w:p w14:paraId="46253826" w14:textId="74E3AEAC" w:rsidR="005A773F" w:rsidRDefault="00FE64AB" w:rsidP="00FE64AB">
      <w:pPr>
        <w:spacing w:after="200" w:line="300" w:lineRule="auto"/>
        <w:jc w:val="both"/>
      </w:pPr>
      <w:r>
        <w:t>In contrast, the asthma patient guide had a reverse problem, and an even more extreme one. The text was very easy to read and nicely structured in terms of the symptom tables and warning signs, but upon closer consideration, practically every sentence can be considered a definition, not a fact, which could only be based on evidence: “asthma is a chronic condition,” “wheezing is a whistling sound.” In no way did I anchor the text with any numbers – what percentage of asthma cases are allergic or exercise-induced, what is the critical peak flow rate percentage – making the guide entirely generic despite its neat formatting.</w:t>
      </w:r>
    </w:p>
    <w:p w14:paraId="68B3BA28" w14:textId="77777777" w:rsidR="008753E1" w:rsidRDefault="008753E1" w:rsidP="008753E1">
      <w:pPr>
        <w:spacing w:after="200" w:line="300" w:lineRule="auto"/>
        <w:jc w:val="both"/>
      </w:pPr>
      <w:r>
        <w:t>The chewing gum clinical study report is definitely my best methodological part of an assignment because of its clear description of the randomization procedure, blinding limitations, and inclusion/exclusion criteria. However, I lack detail exactly where it matters in terms of the real CSR, namely results and statistics, thus the assignment looks like a well-written skeleton but there is nothing in it except the framework.</w:t>
      </w:r>
    </w:p>
    <w:p w14:paraId="4B802F9A" w14:textId="77777777" w:rsidR="008753E1" w:rsidRDefault="008753E1" w:rsidP="008753E1">
      <w:pPr>
        <w:spacing w:after="200" w:line="300" w:lineRule="auto"/>
        <w:jc w:val="both"/>
      </w:pPr>
      <w:r>
        <w:t xml:space="preserve">The CAR-T editorial is undoubtedly my best assignment, and in order to understand why, it is enough to compare it to other assignments. The matter is that the article is based on one single study with its data (15 patients, three months of B cell aplasia, 15-months of median follow-up) and twelve references to the literature. It means that everything stated in the critical evaluation section has some foundation under </w:t>
      </w:r>
      <w:proofErr w:type="spellStart"/>
      <w:r>
        <w:t>it.</w:t>
      </w:r>
      <w:proofErr w:type="spellEnd"/>
    </w:p>
    <w:p w14:paraId="46253829" w14:textId="1AE12CCB" w:rsidR="005A773F" w:rsidRDefault="00F73C30" w:rsidP="008753E1">
      <w:pPr>
        <w:spacing w:after="200" w:line="300" w:lineRule="auto"/>
        <w:jc w:val="both"/>
      </w:pPr>
      <w:r>
        <w:t>The protocol summary is, by the evaluator’s account, the weakest of the five, and I agree with the diagnosis even if it stings a little. I built the whole document around a drug I invented rather than anchoring it to an actual registered trial design, so every number in it — the sample size of 200, the HbA1c entry range of 7.5–10% — was chosen because it sounded plausible, not because I could point to where it came from. That is a different failure from the asthma guide’s genericness: this one was disconnec</w:t>
      </w:r>
      <w:r>
        <w:t>ted from any real source at all.</w:t>
      </w:r>
    </w:p>
    <w:p w14:paraId="48DA83E3" w14:textId="77777777" w:rsidR="008753E1" w:rsidRDefault="008753E1" w:rsidP="008753E1">
      <w:pPr>
        <w:spacing w:after="200" w:line="300" w:lineRule="auto"/>
        <w:jc w:val="both"/>
      </w:pPr>
    </w:p>
    <w:p w14:paraId="4625382A" w14:textId="77777777" w:rsidR="005A773F" w:rsidRDefault="00F73C30">
      <w:pPr>
        <w:pStyle w:val="Heading2"/>
        <w:spacing w:before="240" w:after="120"/>
      </w:pPr>
      <w:r>
        <w:rPr>
          <w:b/>
          <w:bCs/>
        </w:rPr>
        <w:lastRenderedPageBreak/>
        <w:t>Feedback Synthesis</w:t>
      </w:r>
    </w:p>
    <w:p w14:paraId="4625382B" w14:textId="17E76A54" w:rsidR="005A773F" w:rsidRDefault="00DA6DED">
      <w:pPr>
        <w:spacing w:after="200" w:line="300" w:lineRule="auto"/>
        <w:jc w:val="both"/>
      </w:pPr>
      <w:r w:rsidRPr="00DA6DED">
        <w:t>When taken together, these five feedback items suggest two main patterns. First, structure and clarity have never been the issue — four out of five works were praised for good organization or clarity — but the lack of data, examples, and analysis, as well as repetition of conclusions in the introduction instead of moving forward, was common across all five papers. Second, this second pattern, related to the lack of proper research, only pertains to the protocol summary paper; the latter was noted to be inconsistent with the brief due to the fact that the example used was not related to a real-world protocol, as I made it up.</w:t>
      </w:r>
    </w:p>
    <w:p w14:paraId="4625382C" w14:textId="77777777" w:rsidR="005A773F" w:rsidRDefault="00F73C30">
      <w:pPr>
        <w:pStyle w:val="Heading2"/>
        <w:spacing w:before="240" w:after="120"/>
      </w:pPr>
      <w:r>
        <w:rPr>
          <w:b/>
          <w:bCs/>
        </w:rPr>
        <w:t>Revision Planning</w:t>
      </w:r>
    </w:p>
    <w:p w14:paraId="4625382D" w14:textId="44263935" w:rsidR="005A773F" w:rsidRDefault="007778CE">
      <w:pPr>
        <w:spacing w:after="200" w:line="300" w:lineRule="auto"/>
        <w:jc w:val="both"/>
      </w:pPr>
      <w:r w:rsidRPr="007778CE">
        <w:t>Regarding the second part of the assignment requiring the improved version of the protocol summary, I will have to rewrite the summary from scratch, not make any minor changes. The reason is simple – to avoid rewriting all the structural elements again, I will stick to the diabetes trial topic but change everything else accordingly to match the conventions and examples of Phase 3 oral antidiabetic drugs. Thus, I will use a proper sample size calculation instead of just saying how many patients are required, specify the statistical analysis plan, analysis sets and the model used for the primary endpoint, the way of adverse events grading according to CTCAE, and the regulatory section in accordance with the particular Indian regulations governing this type of trials. I will also have to change the conclusion by indicating what additional data needs to be collected to file the application with the regulator.</w:t>
      </w:r>
    </w:p>
    <w:p w14:paraId="4625382E" w14:textId="77777777" w:rsidR="005A773F" w:rsidRDefault="00F73C30">
      <w:pPr>
        <w:pStyle w:val="Heading2"/>
        <w:spacing w:before="240" w:after="120"/>
      </w:pPr>
      <w:r>
        <w:rPr>
          <w:b/>
          <w:bCs/>
        </w:rPr>
        <w:t>Writing Reflection</w:t>
      </w:r>
    </w:p>
    <w:p w14:paraId="4625382F" w14:textId="4B0D6B22" w:rsidR="005A773F" w:rsidRDefault="00357000">
      <w:pPr>
        <w:spacing w:after="200" w:line="300" w:lineRule="auto"/>
        <w:jc w:val="both"/>
      </w:pPr>
      <w:r w:rsidRPr="00357000">
        <w:t>The key takeaway from this experience is that the problem of genericity does not lie in the tone but in the research. In every single submission I have ever received feedback for being generic, I have relied on my pre-existing knowledge of the field to write a passage as opposed to actually researching the particular number, study or guideline that would have helped me defend my claim. This is why the CAR-T editorial was successful, I was using a primary resource when I was writing this paper. Looking ahead into the future, my process should include identifying two or three facts that would validate every section I want to write before writing it.</w:t>
      </w:r>
    </w:p>
    <w:p w14:paraId="46253830" w14:textId="77777777" w:rsidR="005A773F" w:rsidRDefault="00F73C30">
      <w:r>
        <w:br w:type="page"/>
      </w:r>
    </w:p>
    <w:p w14:paraId="46253831" w14:textId="77777777" w:rsidR="005A773F" w:rsidRDefault="00F73C30">
      <w:pPr>
        <w:pStyle w:val="Heading1"/>
        <w:spacing w:before="320" w:after="160"/>
      </w:pPr>
      <w:r>
        <w:rPr>
          <w:b/>
          <w:bCs/>
        </w:rPr>
        <w:t>Part 2: Revised Draft — Clinical Trial Protocol Summary</w:t>
      </w:r>
    </w:p>
    <w:p w14:paraId="46253832" w14:textId="77777777" w:rsidR="005A773F" w:rsidRDefault="00F73C30">
      <w:pPr>
        <w:spacing w:after="200" w:line="300" w:lineRule="auto"/>
      </w:pPr>
      <w:r>
        <w:rPr>
          <w:i/>
          <w:iCs/>
        </w:rPr>
        <w:t>Regulatory Document Drafting for Clinical Research (Revised)</w:t>
      </w:r>
    </w:p>
    <w:p w14:paraId="46253833" w14:textId="77777777" w:rsidR="005A773F" w:rsidRDefault="00F73C30">
      <w:pPr>
        <w:spacing w:after="200" w:line="300" w:lineRule="auto"/>
      </w:pPr>
      <w:r>
        <w:rPr>
          <w:i/>
          <w:iCs/>
        </w:rPr>
        <w:t>Note: This is a revised version of a Week-1 task. The trial, sponsor and drug name are illustrative, as in the original submission, but the design, statistical methods, safety framework and regulatory pathway now follow the conventions actually used in registered Phase 3 oral antidiabetic trials, several of which are cited by name below.</w:t>
      </w:r>
    </w:p>
    <w:p w14:paraId="46253834" w14:textId="77777777" w:rsidR="005A773F" w:rsidRDefault="00F73C30">
      <w:pPr>
        <w:pStyle w:val="Heading2"/>
        <w:spacing w:before="240" w:after="120"/>
      </w:pPr>
      <w:r>
        <w:rPr>
          <w:b/>
          <w:bCs/>
        </w:rPr>
        <w:t>1. Introduction</w:t>
      </w:r>
    </w:p>
    <w:p w14:paraId="46253835" w14:textId="0ABFF98C" w:rsidR="005A773F" w:rsidRDefault="00506084">
      <w:pPr>
        <w:spacing w:after="200" w:line="300" w:lineRule="auto"/>
        <w:jc w:val="both"/>
      </w:pPr>
      <w:r w:rsidRPr="00506084">
        <w:t>The clinical trial protocol is the blueprint for all aspects of the study, from the selection criteria for enrolment to the ultimate statistical analysis of results. Since it is the document to which every researcher, statistician, monitor and ethicist must adhere, a protocol summary is not evaluated on the quality of its description of a trial, but rather on the accuracy with which it defines the conduct of this particular trial. In the original attempt at this exercise, the protocol summary is largely seen as an expository text; in this revised version, it is viewed as a technical document and contains the added component — the actual sample size calculation, statistical analysis plan, safety reporting and regulatory strategy for India — which were missing in the former.</w:t>
      </w:r>
    </w:p>
    <w:p w14:paraId="46253836" w14:textId="77777777" w:rsidR="005A773F" w:rsidRDefault="00F73C30">
      <w:pPr>
        <w:spacing w:after="200" w:line="300" w:lineRule="auto"/>
        <w:jc w:val="both"/>
      </w:pPr>
      <w:r>
        <w:t>The scenario remains a hypothetical oral medicine (“Drug X,” an SGLT2-inhibitor-class agent) for adult patients with Type 2 diabetes mellitus, but the trial is now designed in the manner of real, publicly registered comparator studies in the same drug class, such as the dapagliflozin renal-safety trial (ClinicalTrials.gov, sponsor AstraZeneca) and the teneligliptin monotherapy trial in Chinese patients with T2DM (Protocol MP-513-C02). Their published statistical methods are used below as the model for how t</w:t>
      </w:r>
      <w:r>
        <w:t>he sample size and analysis plan are constructed, so that the numbers in this summary are derived rather than assumed.</w:t>
      </w:r>
    </w:p>
    <w:p w14:paraId="46253837" w14:textId="77777777" w:rsidR="005A773F" w:rsidRDefault="00F73C30">
      <w:pPr>
        <w:pStyle w:val="Heading2"/>
        <w:spacing w:before="240" w:after="120"/>
      </w:pPr>
      <w:r>
        <w:rPr>
          <w:b/>
          <w:bCs/>
        </w:rPr>
        <w:t>2. Study Objectives</w:t>
      </w:r>
    </w:p>
    <w:p w14:paraId="18EAC70D" w14:textId="77777777" w:rsidR="002235F9" w:rsidRDefault="002235F9" w:rsidP="002235F9">
      <w:pPr>
        <w:spacing w:after="200" w:line="300" w:lineRule="auto"/>
        <w:jc w:val="both"/>
      </w:pPr>
      <w:r>
        <w:t>Primary Objective: To investigate the effect of Drug X 10 mg daily on the change in HbA1c level from baseline to Week 24 in comparison with placebo in adults with Type 2 Diabetes Mellitus, in addition to metformin treatment.</w:t>
      </w:r>
    </w:p>
    <w:p w14:paraId="01E2FC11" w14:textId="77777777" w:rsidR="002235F9" w:rsidRDefault="002235F9" w:rsidP="002235F9">
      <w:pPr>
        <w:spacing w:after="200" w:line="300" w:lineRule="auto"/>
        <w:jc w:val="both"/>
      </w:pPr>
      <w:r>
        <w:t xml:space="preserve">Secondary Objectives: </w:t>
      </w:r>
    </w:p>
    <w:p w14:paraId="7BECD072" w14:textId="77777777" w:rsidR="002235F9" w:rsidRDefault="002235F9" w:rsidP="002235F9">
      <w:pPr>
        <w:spacing w:after="200" w:line="300" w:lineRule="auto"/>
        <w:jc w:val="both"/>
      </w:pPr>
      <w:r>
        <w:t>•</w:t>
      </w:r>
      <w:r>
        <w:tab/>
        <w:t>To explore the effect of Drug X on Fasting Plasma Glucose level from baseline to Week 24.</w:t>
      </w:r>
    </w:p>
    <w:p w14:paraId="47058F11" w14:textId="77777777" w:rsidR="002235F9" w:rsidRDefault="002235F9" w:rsidP="002235F9">
      <w:pPr>
        <w:spacing w:after="200" w:line="300" w:lineRule="auto"/>
        <w:jc w:val="both"/>
      </w:pPr>
      <w:r>
        <w:t>•</w:t>
      </w:r>
      <w:r>
        <w:tab/>
        <w:t>To compare the percentage of subjects with HbA1c level less than 7% at Week 24 between two study groups.</w:t>
      </w:r>
    </w:p>
    <w:p w14:paraId="3B4E4E13" w14:textId="77777777" w:rsidR="002235F9" w:rsidRDefault="002235F9" w:rsidP="002235F9">
      <w:pPr>
        <w:spacing w:after="200" w:line="300" w:lineRule="auto"/>
        <w:jc w:val="both"/>
      </w:pPr>
      <w:r>
        <w:t>•</w:t>
      </w:r>
      <w:r>
        <w:tab/>
        <w:t>To examine the effect of Drug X on body weight in the presence of baseline BMI ≥ 25 kg/m2.</w:t>
      </w:r>
    </w:p>
    <w:p w14:paraId="46161302" w14:textId="77777777" w:rsidR="002235F9" w:rsidRDefault="002235F9" w:rsidP="002235F9">
      <w:pPr>
        <w:spacing w:after="200" w:line="300" w:lineRule="auto"/>
        <w:jc w:val="both"/>
      </w:pPr>
      <w:r>
        <w:t>•</w:t>
      </w:r>
      <w:r>
        <w:tab/>
        <w:t>To study the effect of Drug X on the systolic blood pressure level at Week 24.</w:t>
      </w:r>
    </w:p>
    <w:p w14:paraId="4625383E" w14:textId="57E400FA" w:rsidR="005A773F" w:rsidRDefault="002235F9" w:rsidP="002235F9">
      <w:pPr>
        <w:spacing w:after="200" w:line="300" w:lineRule="auto"/>
        <w:jc w:val="both"/>
      </w:pPr>
      <w:r>
        <w:t>Safety Objective: To characterize the safety profile of Drug X, in terms of hypoglycemia, genitourinary infection, and volume depletion, as per the SGLT2 Inhibitors Class.</w:t>
      </w:r>
    </w:p>
    <w:p w14:paraId="4625383F" w14:textId="77777777" w:rsidR="005A773F" w:rsidRDefault="00F73C30">
      <w:pPr>
        <w:spacing w:after="200" w:line="300" w:lineRule="auto"/>
        <w:jc w:val="both"/>
      </w:pPr>
      <w:r>
        <w:t>U</w:t>
      </w:r>
      <w:r>
        <w:t>nlike the earlier draft, the secondary objectives here are ranked (key versus exploratory) and each is tied to a measurable comparison at a fixed timepoint, which is what allows them to be tested in a pre-specified order in the statistical analysis plan rather than treated as a loose list.</w:t>
      </w:r>
    </w:p>
    <w:p w14:paraId="63A4F249" w14:textId="77777777" w:rsidR="002235F9" w:rsidRDefault="002235F9">
      <w:pPr>
        <w:spacing w:after="200" w:line="300" w:lineRule="auto"/>
        <w:jc w:val="both"/>
      </w:pPr>
    </w:p>
    <w:p w14:paraId="46253840" w14:textId="77777777" w:rsidR="005A773F" w:rsidRDefault="00F73C30">
      <w:pPr>
        <w:pStyle w:val="Heading2"/>
        <w:spacing w:before="240" w:after="120"/>
      </w:pPr>
      <w:r>
        <w:rPr>
          <w:b/>
          <w:bCs/>
        </w:rPr>
        <w:t>3. Methodology</w:t>
      </w:r>
    </w:p>
    <w:p w14:paraId="46253841" w14:textId="05E814DE" w:rsidR="005A773F" w:rsidRDefault="00BF037B">
      <w:pPr>
        <w:spacing w:after="200" w:line="300" w:lineRule="auto"/>
        <w:jc w:val="both"/>
      </w:pPr>
      <w:r w:rsidRPr="00BF037B">
        <w:t xml:space="preserve">3.1 </w:t>
      </w:r>
      <w:r w:rsidRPr="00BF037B">
        <w:rPr>
          <w:b/>
          <w:bCs/>
        </w:rPr>
        <w:t>Study Design.</w:t>
      </w:r>
      <w:r w:rsidRPr="00BF037B">
        <w:t xml:space="preserve">  The study is a multi-</w:t>
      </w:r>
      <w:proofErr w:type="spellStart"/>
      <w:r w:rsidRPr="00BF037B">
        <w:t>centre</w:t>
      </w:r>
      <w:proofErr w:type="spellEnd"/>
      <w:r w:rsidRPr="00BF037B">
        <w:t xml:space="preserve">, </w:t>
      </w:r>
      <w:proofErr w:type="spellStart"/>
      <w:r w:rsidRPr="00BF037B">
        <w:t>randomised</w:t>
      </w:r>
      <w:proofErr w:type="spellEnd"/>
      <w:r w:rsidRPr="00BF037B">
        <w:t xml:space="preserve">, double-blind, placebo-controlled, parallel-group Phase 3 study that will take place at ten </w:t>
      </w:r>
      <w:proofErr w:type="spellStart"/>
      <w:r w:rsidRPr="00BF037B">
        <w:t>centres</w:t>
      </w:r>
      <w:proofErr w:type="spellEnd"/>
      <w:r w:rsidRPr="00BF037B">
        <w:t xml:space="preserve"> in India. Potential patients are required to participate in a 2-week run-in phase during which they will be given a single-blind placebo treatment in order to filter out those with poor adherence and to establish a baseline level of HbA1c. This particular design feature was directly taken from the teneligliptin monotherapy study, but it had not been included in the original draft of the protocol.</w:t>
      </w:r>
    </w:p>
    <w:p w14:paraId="089C3ECB" w14:textId="77777777" w:rsidR="00CC5433" w:rsidRPr="00CC5433" w:rsidRDefault="00F73C30" w:rsidP="00CC5433">
      <w:pPr>
        <w:spacing w:after="200" w:line="300" w:lineRule="auto"/>
        <w:jc w:val="both"/>
      </w:pPr>
      <w:r>
        <w:rPr>
          <w:b/>
          <w:bCs/>
        </w:rPr>
        <w:t>3.2 Sample Size Determination</w:t>
      </w:r>
      <w:r w:rsidRPr="00CC5433">
        <w:t xml:space="preserve">.  </w:t>
      </w:r>
      <w:r w:rsidR="00CC5433" w:rsidRPr="00CC5433">
        <w:t>From the pooled data of SGLT2-inhibitor monotherapy and add-on studies using similar patient population, the expected decrease in HbA1c at week 24 after correcting for placebo is 0.5% with a common standard deviation of 1.0%. From a two-sided two-sample t-test at α = 0.05 and 90% power, the number of patients required per arm is calculated as follows:</w:t>
      </w:r>
    </w:p>
    <w:p w14:paraId="6D2197A8" w14:textId="77777777" w:rsidR="00CC5433" w:rsidRPr="00CC5433" w:rsidRDefault="00CC5433" w:rsidP="00CC5433">
      <w:pPr>
        <w:spacing w:after="200" w:line="300" w:lineRule="auto"/>
        <w:jc w:val="both"/>
      </w:pPr>
      <w:r w:rsidRPr="00CC5433">
        <w:t>n = 2 × (zα/2 + zβ)² × SD² / Δ²</w:t>
      </w:r>
    </w:p>
    <w:p w14:paraId="3CC404CA" w14:textId="77777777" w:rsidR="00CC5433" w:rsidRPr="00CC5433" w:rsidRDefault="00CC5433" w:rsidP="00CC5433">
      <w:pPr>
        <w:spacing w:after="200" w:line="300" w:lineRule="auto"/>
        <w:jc w:val="both"/>
      </w:pPr>
      <w:r w:rsidRPr="00CC5433">
        <w:t>n = 2 × (1.96 + 1.28)² × (1.0)² / (0.5)² ≈ 84 patients per arm</w:t>
      </w:r>
    </w:p>
    <w:p w14:paraId="46253845" w14:textId="46F87D7E" w:rsidR="005A773F" w:rsidRPr="00CC5433" w:rsidRDefault="00CC5433" w:rsidP="00CC5433">
      <w:pPr>
        <w:spacing w:after="200" w:line="300" w:lineRule="auto"/>
        <w:jc w:val="both"/>
      </w:pPr>
      <w:r w:rsidRPr="00CC5433">
        <w:t>With a dropout and non-evaluable rate of 20% over 24 weeks, the number of patients required is 210 (105 per arm). The number of patients required is considerably different from the previously stated number of 200 patients in the previous draft that was not linked to any effect size, variance, or power.</w:t>
      </w:r>
    </w:p>
    <w:p w14:paraId="46253846" w14:textId="77777777" w:rsidR="005A773F" w:rsidRDefault="00F73C30">
      <w:pPr>
        <w:spacing w:after="200" w:line="300" w:lineRule="auto"/>
        <w:rPr>
          <w:b/>
          <w:bCs/>
        </w:rPr>
      </w:pPr>
      <w:r>
        <w:rPr>
          <w:b/>
          <w:bCs/>
        </w:rPr>
        <w:t>3</w:t>
      </w:r>
      <w:r>
        <w:rPr>
          <w:b/>
          <w:bCs/>
        </w:rPr>
        <w:t>.3 Patient Eligibility</w:t>
      </w:r>
    </w:p>
    <w:p w14:paraId="05083E8E" w14:textId="77777777" w:rsidR="005C3C4F" w:rsidRDefault="005C3C4F" w:rsidP="005C3C4F">
      <w:pPr>
        <w:spacing w:after="200" w:line="300" w:lineRule="auto"/>
      </w:pPr>
      <w:r>
        <w:t>Inclusion Criteria:</w:t>
      </w:r>
    </w:p>
    <w:p w14:paraId="28549046" w14:textId="77777777" w:rsidR="005C3C4F" w:rsidRDefault="005C3C4F" w:rsidP="005C3C4F">
      <w:pPr>
        <w:spacing w:after="200" w:line="300" w:lineRule="auto"/>
      </w:pPr>
      <w:r>
        <w:t>•</w:t>
      </w:r>
      <w:r>
        <w:tab/>
        <w:t>Both men and women 30-65 years old.</w:t>
      </w:r>
    </w:p>
    <w:p w14:paraId="4F2F9A3B" w14:textId="77777777" w:rsidR="005C3C4F" w:rsidRDefault="005C3C4F" w:rsidP="005C3C4F">
      <w:pPr>
        <w:spacing w:after="200" w:line="300" w:lineRule="auto"/>
      </w:pPr>
      <w:r>
        <w:t>•</w:t>
      </w:r>
      <w:r>
        <w:tab/>
        <w:t>Having been diagnosed with Type 2 diabetes mellitus for at least 6 months and on a stable dosage of metformin (≥1500 mg per day) for at least 8 weeks.</w:t>
      </w:r>
    </w:p>
    <w:p w14:paraId="703CAA3D" w14:textId="77777777" w:rsidR="005C3C4F" w:rsidRDefault="005C3C4F" w:rsidP="005C3C4F">
      <w:pPr>
        <w:spacing w:after="200" w:line="300" w:lineRule="auto"/>
      </w:pPr>
      <w:r>
        <w:t>•</w:t>
      </w:r>
      <w:r>
        <w:tab/>
        <w:t>Having HbA1c in the range of 7.5-10% at screening.</w:t>
      </w:r>
    </w:p>
    <w:p w14:paraId="625BDA13" w14:textId="77777777" w:rsidR="005C3C4F" w:rsidRDefault="005C3C4F" w:rsidP="005C3C4F">
      <w:pPr>
        <w:spacing w:after="200" w:line="300" w:lineRule="auto"/>
      </w:pPr>
      <w:r>
        <w:t>•</w:t>
      </w:r>
      <w:r>
        <w:tab/>
        <w:t>BMI 22-40 kg/m².</w:t>
      </w:r>
    </w:p>
    <w:p w14:paraId="78C9E4BD" w14:textId="77777777" w:rsidR="005C3C4F" w:rsidRDefault="005C3C4F" w:rsidP="005C3C4F">
      <w:pPr>
        <w:spacing w:after="200" w:line="300" w:lineRule="auto"/>
      </w:pPr>
      <w:r>
        <w:t>•</w:t>
      </w:r>
      <w:r>
        <w:tab/>
        <w:t>eGFR ≥ 60 ml/min/1.73m² due to renal involvement in the mechanism of action of the drug class.</w:t>
      </w:r>
    </w:p>
    <w:p w14:paraId="74591EB1" w14:textId="77777777" w:rsidR="005C3C4F" w:rsidRDefault="005C3C4F" w:rsidP="005C3C4F">
      <w:pPr>
        <w:spacing w:after="200" w:line="300" w:lineRule="auto"/>
      </w:pPr>
      <w:r>
        <w:t>•</w:t>
      </w:r>
      <w:r>
        <w:tab/>
        <w:t>The ability to provide written consent.</w:t>
      </w:r>
    </w:p>
    <w:p w14:paraId="19FB6C35" w14:textId="77777777" w:rsidR="005C3C4F" w:rsidRDefault="005C3C4F" w:rsidP="005C3C4F">
      <w:pPr>
        <w:spacing w:after="200" w:line="300" w:lineRule="auto"/>
      </w:pPr>
      <w:r>
        <w:t>Exclusion Criteria:</w:t>
      </w:r>
    </w:p>
    <w:p w14:paraId="5D72E320" w14:textId="77777777" w:rsidR="005C3C4F" w:rsidRDefault="005C3C4F" w:rsidP="005C3C4F">
      <w:pPr>
        <w:spacing w:after="200" w:line="300" w:lineRule="auto"/>
      </w:pPr>
      <w:r>
        <w:t>•</w:t>
      </w:r>
      <w:r>
        <w:tab/>
        <w:t>History of Type 1 diabetes and/or diabetic ketoacidosis.</w:t>
      </w:r>
    </w:p>
    <w:p w14:paraId="1B803378" w14:textId="77777777" w:rsidR="005C3C4F" w:rsidRDefault="005C3C4F" w:rsidP="005C3C4F">
      <w:pPr>
        <w:spacing w:after="200" w:line="300" w:lineRule="auto"/>
      </w:pPr>
      <w:r>
        <w:t>•</w:t>
      </w:r>
      <w:r>
        <w:tab/>
        <w:t>Pregnancy or lactation.</w:t>
      </w:r>
    </w:p>
    <w:p w14:paraId="20434B34" w14:textId="77777777" w:rsidR="005C3C4F" w:rsidRDefault="005C3C4F" w:rsidP="005C3C4F">
      <w:pPr>
        <w:spacing w:after="200" w:line="300" w:lineRule="auto"/>
      </w:pPr>
      <w:r>
        <w:t>•</w:t>
      </w:r>
      <w:r>
        <w:tab/>
        <w:t>History of eGFR &lt; 60 mL/min/1.73m² and recurrent genital and/or UTIs.</w:t>
      </w:r>
    </w:p>
    <w:p w14:paraId="50A8BDBE" w14:textId="77777777" w:rsidR="005C3C4F" w:rsidRDefault="005C3C4F" w:rsidP="005C3C4F">
      <w:pPr>
        <w:spacing w:after="200" w:line="300" w:lineRule="auto"/>
      </w:pPr>
      <w:r>
        <w:t>•</w:t>
      </w:r>
      <w:r>
        <w:tab/>
        <w:t>Using insulin and other SGLT2 inhibitors.</w:t>
      </w:r>
    </w:p>
    <w:p w14:paraId="7483F02C" w14:textId="77777777" w:rsidR="005C3C4F" w:rsidRDefault="005C3C4F" w:rsidP="005C3C4F">
      <w:pPr>
        <w:spacing w:after="200" w:line="300" w:lineRule="auto"/>
      </w:pPr>
      <w:r>
        <w:t>•</w:t>
      </w:r>
      <w:r>
        <w:tab/>
        <w:t>Being involved in any other interventional trial for the last 3 months.</w:t>
      </w:r>
    </w:p>
    <w:p w14:paraId="5F3FA9BC" w14:textId="04A1B323" w:rsidR="005C3C4F" w:rsidRDefault="005C3C4F" w:rsidP="005C3C4F">
      <w:pPr>
        <w:spacing w:after="200" w:line="300" w:lineRule="auto"/>
      </w:pPr>
      <w:r>
        <w:t>The inclusion of eGFR criterion and a specific range of BMIs (both lacking in the original draft) is due to their relevance as the inclusion criteria for SGLT2-inhibitors registered clinical trials.</w:t>
      </w:r>
    </w:p>
    <w:p w14:paraId="46253855" w14:textId="32B5D73F" w:rsidR="005A773F" w:rsidRPr="000232F3" w:rsidRDefault="00F73C30">
      <w:pPr>
        <w:spacing w:after="200" w:line="300" w:lineRule="auto"/>
        <w:jc w:val="both"/>
      </w:pPr>
      <w:r>
        <w:rPr>
          <w:b/>
          <w:bCs/>
        </w:rPr>
        <w:t>3.4 Statistical Analysis Plan</w:t>
      </w:r>
      <w:r w:rsidR="000232F3">
        <w:rPr>
          <w:b/>
          <w:bCs/>
        </w:rPr>
        <w:t xml:space="preserve"> </w:t>
      </w:r>
      <w:r w:rsidR="000232F3" w:rsidRPr="000232F3">
        <w:rPr>
          <w:b/>
          <w:bCs/>
        </w:rPr>
        <w:t xml:space="preserve">. </w:t>
      </w:r>
      <w:r w:rsidR="000232F3" w:rsidRPr="000232F3">
        <w:t xml:space="preserve">The primary analysis population is the Full Analysis Set (FAS), which includes all </w:t>
      </w:r>
      <w:proofErr w:type="spellStart"/>
      <w:r w:rsidR="000232F3" w:rsidRPr="000232F3">
        <w:t>randomised</w:t>
      </w:r>
      <w:proofErr w:type="spellEnd"/>
      <w:r w:rsidR="000232F3" w:rsidRPr="000232F3">
        <w:t xml:space="preserve"> patients receiving at least one dose of study drug with available baseline and at least one post-baseline HbA1c value, evaluated based on the treatment allocated (intent to treat). A per-protocol population, which excludes patients with any major protocol violations, may be employed in the sensitivity analysis. The primary endpoint will be </w:t>
      </w:r>
      <w:proofErr w:type="spellStart"/>
      <w:r w:rsidR="000232F3" w:rsidRPr="000232F3">
        <w:t>analysed</w:t>
      </w:r>
      <w:proofErr w:type="spellEnd"/>
      <w:r w:rsidR="000232F3" w:rsidRPr="000232F3">
        <w:t xml:space="preserve"> employing a mixed-effects model for repeated measurements (MMRM), wherein the dependent variable is the change in HbA1c from baseline, while treatment, visit, and treatment-by-visit interaction are the fixed factors, with baseline HbA1c as the covariate, using an unstructured covariance matrix. Similar to the method employed in the comparator trials between dulaglutide or semaglutide and the SGLT2 inhibitor mentioned above. The single timepoint comparison, where there was no specification how missing Week 4 or Week 12 value will be handled in the original draft. Key secondary endpoints will be evaluated in the pre-specified order in section 2, with a two-sided test size of 0.05 such that the overall Type I error rate in multiple comparisons will be controlled without additional multiplicity adjustment.</w:t>
      </w:r>
    </w:p>
    <w:p w14:paraId="46253856" w14:textId="4CCD10A2" w:rsidR="005A773F" w:rsidRDefault="00F73C30">
      <w:pPr>
        <w:spacing w:after="200" w:line="300" w:lineRule="auto"/>
        <w:jc w:val="both"/>
      </w:pPr>
      <w:r>
        <w:rPr>
          <w:b/>
          <w:bCs/>
        </w:rPr>
        <w:t xml:space="preserve">3.5 Data Management.  </w:t>
      </w:r>
      <w:r w:rsidR="005F00AC" w:rsidRPr="005F00AC">
        <w:t>All data will be entered into an electronic case report form (eCRF) with automatic range and consistency check at entry. Source data verification will be conducted for 100% of efficacy and safety variables for the first 20% of patients enrolled at each study site, and thereafter for a 20% risk-based sample. Patient anonymity will be assured through use of coded patient numbers, which are known only to the investigator at each study site.</w:t>
      </w:r>
    </w:p>
    <w:p w14:paraId="46253857" w14:textId="77777777" w:rsidR="005A773F" w:rsidRDefault="00F73C30">
      <w:pPr>
        <w:pStyle w:val="Heading2"/>
        <w:spacing w:before="240" w:after="120"/>
      </w:pPr>
      <w:r>
        <w:rPr>
          <w:b/>
          <w:bCs/>
        </w:rPr>
        <w:t>4. Visit Schedule and Safety Monitoring</w:t>
      </w:r>
    </w:p>
    <w:p w14:paraId="46253858" w14:textId="09ED99B9" w:rsidR="005A773F" w:rsidRDefault="008D71FA">
      <w:pPr>
        <w:spacing w:after="200" w:line="300" w:lineRule="auto"/>
        <w:jc w:val="both"/>
      </w:pPr>
      <w:r w:rsidRPr="008D71FA">
        <w:t xml:space="preserve">After the screening, run-in, and baseline periods, patients will be seen in Weeks 4, 8, 12, 18 and 24, along with one safety visit in Week 2. During all these visits, the following assessments will be made: HbA1c (only in Weeks 12 and 24), fasting plasma glucose, vital signs and adverse events, along with medication adherence by the tablet count method. All the adverse events will be categorized as per the Common Terminology Criteria for Adverse Events (CTCAE), version 5.0. All Grade 3 and higher adverse events as well as serious adverse events will be reported to the sponsor within 24 hours and to the Institutional Ethics Committee within 7 calendar days, as per the pharmacovigilance timelines set out in the New Drugs and Clinical Trials Rules, 2019 of India. The Data Safety Monitoring Board (DSMB) will analyze the unblinded safety data after 50% and 100% enrolment of patients and will have the power to halt the study if either of the predefined stopping boundaries for </w:t>
      </w:r>
      <w:proofErr w:type="spellStart"/>
      <w:r w:rsidRPr="008D71FA">
        <w:t>hypoglycaemia</w:t>
      </w:r>
      <w:proofErr w:type="spellEnd"/>
      <w:r w:rsidRPr="008D71FA">
        <w:t xml:space="preserve"> or genitourinary infection is reached. This is more of a targeted safety strategy compared to “any side effect” in the original draft.</w:t>
      </w:r>
    </w:p>
    <w:p w14:paraId="46253859" w14:textId="77777777" w:rsidR="005A773F" w:rsidRDefault="00F73C30">
      <w:pPr>
        <w:pStyle w:val="Heading2"/>
        <w:spacing w:before="240" w:after="120"/>
      </w:pPr>
      <w:r>
        <w:rPr>
          <w:b/>
          <w:bCs/>
        </w:rPr>
        <w:t>5. Regulatory and Ethical Considerations</w:t>
      </w:r>
    </w:p>
    <w:p w14:paraId="4625385A" w14:textId="3AF10297" w:rsidR="005A773F" w:rsidRDefault="00E23F89">
      <w:pPr>
        <w:spacing w:after="200" w:line="300" w:lineRule="auto"/>
        <w:jc w:val="both"/>
      </w:pPr>
      <w:r w:rsidRPr="00E23F89">
        <w:t>This trial needs to be reviewed and approved by an Institutional Ethics Committee (IEC) at all the respective centers according to the ethical and procedural requirements of the New Drugs and Clinical Trials Rules, 2019 (Second Schedule) and Good Clinical Practice guidelines consistent with ICH E6(R2). Since Drug X is a new chemical entity, this protocol also needs to be reviewed by the Subject Expert Committee (SEC) under the CDSCO before commencing the enrollment, and the trial needs to be registered in the Clinical Trials Registry - India (CTRI) even before the first patient gets enrolled in the trial, and not simply before the commencement of the trial in any generic way. Informed consent will be taken in the language preferred by the patient through an informed consent form which separately covers both study related procedures and the known as well as unknown risks of SGLT2 inhibitor</w:t>
      </w:r>
      <w:r w:rsidRPr="00E23F89">
        <w:t xml:space="preserve"> </w:t>
      </w:r>
      <w:r w:rsidR="00F73C30">
        <w:t xml:space="preserve">(including genitourinary infection and, rarely, </w:t>
      </w:r>
      <w:proofErr w:type="spellStart"/>
      <w:r w:rsidR="00F73C30">
        <w:t>euglycaemic</w:t>
      </w:r>
      <w:proofErr w:type="spellEnd"/>
      <w:r w:rsidR="00F73C30">
        <w:t xml:space="preserve"> ketoacidosis), and the patient’s right to withdraw at any time without effect on their ongoing clinical care. Given the class-specific renal mechanism of Drug X, the ethics committee’s risk–benefit assessment will give particular attention to the eGFR monitoring plan and the stopping rules described in Section 4, rather than treating regulatory approval as a single generic checkpoint.</w:t>
      </w:r>
    </w:p>
    <w:p w14:paraId="4625385B" w14:textId="77777777" w:rsidR="005A773F" w:rsidRDefault="00F73C30">
      <w:pPr>
        <w:pStyle w:val="Heading2"/>
        <w:spacing w:before="240" w:after="120"/>
      </w:pPr>
      <w:r>
        <w:rPr>
          <w:b/>
          <w:bCs/>
        </w:rPr>
        <w:t>6. Conclusion</w:t>
      </w:r>
    </w:p>
    <w:p w14:paraId="4625385C" w14:textId="63055293" w:rsidR="005A773F" w:rsidRDefault="0067310B">
      <w:pPr>
        <w:spacing w:after="200" w:line="300" w:lineRule="auto"/>
        <w:jc w:val="both"/>
      </w:pPr>
      <w:r w:rsidRPr="0067310B">
        <w:t>The modified summary outlines an approachable process of moving from a speculative compound to meaningful Week-24 findings: the sample size calculation based on the claimed effect size and variance, rather than selected arbitrarily; a clear statement of how the primary outcome will be modeled and how missing data will be treated; and a safety/regulatory plan that aligns with the specific drug action and specific regulations for such trials in India. The question that this summary can’t address, and what will have to be shown after establishing efficacy in a placebo-controlled trial to make a case for filing Drug X for approval, is whether a 0.5% placebo-adjusted HbA1c reduction is proven to be clinically meaningful compared to currently available SGLT2 inhibitors, which is a comparative effectiveness question that this particular trial design is unable to answer. An appropriate step to take at this point, which was overlooked in the original version of the conclusion, is a head-to-head non-inferiority trial against a comparator drug.</w:t>
      </w:r>
    </w:p>
    <w:p w14:paraId="4625385D" w14:textId="77777777" w:rsidR="005A773F" w:rsidRDefault="00F73C30">
      <w:pPr>
        <w:pStyle w:val="Heading2"/>
        <w:spacing w:before="240" w:after="120"/>
      </w:pPr>
      <w:r>
        <w:rPr>
          <w:b/>
          <w:bCs/>
        </w:rPr>
        <w:t>References</w:t>
      </w:r>
    </w:p>
    <w:p w14:paraId="4625385E" w14:textId="77777777" w:rsidR="005A773F" w:rsidRDefault="00F73C30">
      <w:pPr>
        <w:pStyle w:val="ListParagraph"/>
        <w:numPr>
          <w:ilvl w:val="0"/>
          <w:numId w:val="3"/>
        </w:numPr>
        <w:spacing w:after="140" w:line="280" w:lineRule="auto"/>
      </w:pPr>
      <w:r>
        <w:t>New Drugs and Clinical Trials Rules, 2019. Ministry of Health and Family Welfare, Government of India.</w:t>
      </w:r>
    </w:p>
    <w:p w14:paraId="4625385F" w14:textId="77777777" w:rsidR="005A773F" w:rsidRDefault="00F73C30">
      <w:pPr>
        <w:pStyle w:val="ListParagraph"/>
        <w:numPr>
          <w:ilvl w:val="0"/>
          <w:numId w:val="3"/>
        </w:numPr>
        <w:spacing w:after="140" w:line="280" w:lineRule="auto"/>
      </w:pPr>
      <w:r>
        <w:t xml:space="preserve">International Council for </w:t>
      </w:r>
      <w:proofErr w:type="spellStart"/>
      <w:r>
        <w:t>Harmonisation</w:t>
      </w:r>
      <w:proofErr w:type="spellEnd"/>
      <w:r>
        <w:t>. ICH E6(R2): Good Clinical Practice. 2016.</w:t>
      </w:r>
    </w:p>
    <w:p w14:paraId="46253860" w14:textId="77777777" w:rsidR="005A773F" w:rsidRDefault="00F73C30">
      <w:pPr>
        <w:pStyle w:val="ListParagraph"/>
        <w:numPr>
          <w:ilvl w:val="0"/>
          <w:numId w:val="3"/>
        </w:numPr>
        <w:spacing w:after="140" w:line="280" w:lineRule="auto"/>
      </w:pPr>
      <w:r>
        <w:t xml:space="preserve">International Council for </w:t>
      </w:r>
      <w:proofErr w:type="spellStart"/>
      <w:r>
        <w:t>Harmonisation</w:t>
      </w:r>
      <w:proofErr w:type="spellEnd"/>
      <w:r>
        <w:t>. ICH E9: Statistical Principles for Clinical Trials.</w:t>
      </w:r>
    </w:p>
    <w:p w14:paraId="46253861" w14:textId="77777777" w:rsidR="005A773F" w:rsidRDefault="00F73C30">
      <w:pPr>
        <w:pStyle w:val="ListParagraph"/>
        <w:numPr>
          <w:ilvl w:val="0"/>
          <w:numId w:val="3"/>
        </w:numPr>
        <w:spacing w:after="140" w:line="280" w:lineRule="auto"/>
      </w:pPr>
      <w:r>
        <w:t>ClinicalTrials.gov. A Study to Evaluate the Effect of Dapagliflozin on Blood Glucose Level and Renal Safety in Patients With Type 2 Diabetes. NCT02413398. AstraZeneca.</w:t>
      </w:r>
    </w:p>
    <w:p w14:paraId="46253862" w14:textId="77777777" w:rsidR="005A773F" w:rsidRDefault="00F73C30">
      <w:pPr>
        <w:pStyle w:val="ListParagraph"/>
        <w:numPr>
          <w:ilvl w:val="0"/>
          <w:numId w:val="3"/>
        </w:numPr>
        <w:spacing w:after="140" w:line="280" w:lineRule="auto"/>
      </w:pPr>
      <w:r>
        <w:t>ClinicalTrials.gov. Efficacy and Safety of Teneligliptin in Chinese Patients With Type 2 Diabetes Mellitus. Protocol MP-513-C02. NCT02916706. Mitsubishi Tanabe Pharma Corporation.</w:t>
      </w:r>
    </w:p>
    <w:p w14:paraId="46253863" w14:textId="77777777" w:rsidR="005A773F" w:rsidRDefault="00F73C30">
      <w:pPr>
        <w:pStyle w:val="ListParagraph"/>
        <w:numPr>
          <w:ilvl w:val="0"/>
          <w:numId w:val="3"/>
        </w:numPr>
        <w:spacing w:after="140" w:line="280" w:lineRule="auto"/>
      </w:pPr>
      <w:r>
        <w:t>National Cancer Institute. Common Terminology Criteria for Adverse Events (CTCAE), Version 5.0. 2017.</w:t>
      </w:r>
    </w:p>
    <w:p w14:paraId="46253864" w14:textId="77777777" w:rsidR="005A773F" w:rsidRDefault="00F73C30">
      <w:pPr>
        <w:pStyle w:val="ListParagraph"/>
        <w:numPr>
          <w:ilvl w:val="0"/>
          <w:numId w:val="3"/>
        </w:numPr>
        <w:spacing w:after="140" w:line="280" w:lineRule="auto"/>
      </w:pPr>
      <w:r>
        <w:t>Clinical Trials Registry – India (CTRI). ctri.nic.in.</w:t>
      </w:r>
    </w:p>
    <w:sectPr w:rsidR="005A77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65F2F"/>
    <w:multiLevelType w:val="hybridMultilevel"/>
    <w:tmpl w:val="DA4E864C"/>
    <w:lvl w:ilvl="0" w:tplc="83FE1B96">
      <w:start w:val="1"/>
      <w:numFmt w:val="bullet"/>
      <w:lvlText w:val="●"/>
      <w:lvlJc w:val="left"/>
      <w:pPr>
        <w:ind w:left="720" w:hanging="360"/>
      </w:pPr>
    </w:lvl>
    <w:lvl w:ilvl="1" w:tplc="A0D81F24">
      <w:start w:val="1"/>
      <w:numFmt w:val="bullet"/>
      <w:lvlText w:val="○"/>
      <w:lvlJc w:val="left"/>
      <w:pPr>
        <w:ind w:left="1440" w:hanging="360"/>
      </w:pPr>
    </w:lvl>
    <w:lvl w:ilvl="2" w:tplc="E81AD3BC">
      <w:start w:val="1"/>
      <w:numFmt w:val="bullet"/>
      <w:lvlText w:val="■"/>
      <w:lvlJc w:val="left"/>
      <w:pPr>
        <w:ind w:left="2160" w:hanging="360"/>
      </w:pPr>
    </w:lvl>
    <w:lvl w:ilvl="3" w:tplc="823A58FC">
      <w:start w:val="1"/>
      <w:numFmt w:val="bullet"/>
      <w:lvlText w:val="●"/>
      <w:lvlJc w:val="left"/>
      <w:pPr>
        <w:ind w:left="2880" w:hanging="360"/>
      </w:pPr>
    </w:lvl>
    <w:lvl w:ilvl="4" w:tplc="47168ADE">
      <w:start w:val="1"/>
      <w:numFmt w:val="bullet"/>
      <w:lvlText w:val="○"/>
      <w:lvlJc w:val="left"/>
      <w:pPr>
        <w:ind w:left="3600" w:hanging="360"/>
      </w:pPr>
    </w:lvl>
    <w:lvl w:ilvl="5" w:tplc="0EEE414E">
      <w:start w:val="1"/>
      <w:numFmt w:val="bullet"/>
      <w:lvlText w:val="■"/>
      <w:lvlJc w:val="left"/>
      <w:pPr>
        <w:ind w:left="4320" w:hanging="360"/>
      </w:pPr>
    </w:lvl>
    <w:lvl w:ilvl="6" w:tplc="D0E8F59E">
      <w:start w:val="1"/>
      <w:numFmt w:val="bullet"/>
      <w:lvlText w:val="●"/>
      <w:lvlJc w:val="left"/>
      <w:pPr>
        <w:ind w:left="5040" w:hanging="360"/>
      </w:pPr>
    </w:lvl>
    <w:lvl w:ilvl="7" w:tplc="561CECE0">
      <w:start w:val="1"/>
      <w:numFmt w:val="bullet"/>
      <w:lvlText w:val="●"/>
      <w:lvlJc w:val="left"/>
      <w:pPr>
        <w:ind w:left="5760" w:hanging="360"/>
      </w:pPr>
    </w:lvl>
    <w:lvl w:ilvl="8" w:tplc="FE4A0864">
      <w:start w:val="1"/>
      <w:numFmt w:val="bullet"/>
      <w:lvlText w:val="●"/>
      <w:lvlJc w:val="left"/>
      <w:pPr>
        <w:ind w:left="6480" w:hanging="360"/>
      </w:pPr>
    </w:lvl>
  </w:abstractNum>
  <w:abstractNum w:abstractNumId="1" w15:restartNumberingAfterBreak="0">
    <w:nsid w:val="21C52B95"/>
    <w:multiLevelType w:val="hybridMultilevel"/>
    <w:tmpl w:val="3F9A4120"/>
    <w:lvl w:ilvl="0" w:tplc="FA7E52A2">
      <w:start w:val="1"/>
      <w:numFmt w:val="bullet"/>
      <w:lvlText w:val="•"/>
      <w:lvlJc w:val="left"/>
      <w:pPr>
        <w:ind w:left="504" w:hanging="288"/>
      </w:pPr>
    </w:lvl>
    <w:lvl w:ilvl="1" w:tplc="6AA4B076">
      <w:numFmt w:val="decimal"/>
      <w:lvlText w:val=""/>
      <w:lvlJc w:val="left"/>
    </w:lvl>
    <w:lvl w:ilvl="2" w:tplc="47F8696E">
      <w:numFmt w:val="decimal"/>
      <w:lvlText w:val=""/>
      <w:lvlJc w:val="left"/>
    </w:lvl>
    <w:lvl w:ilvl="3" w:tplc="1556F858">
      <w:numFmt w:val="decimal"/>
      <w:lvlText w:val=""/>
      <w:lvlJc w:val="left"/>
    </w:lvl>
    <w:lvl w:ilvl="4" w:tplc="E284898C">
      <w:numFmt w:val="decimal"/>
      <w:lvlText w:val=""/>
      <w:lvlJc w:val="left"/>
    </w:lvl>
    <w:lvl w:ilvl="5" w:tplc="2AC2E224">
      <w:numFmt w:val="decimal"/>
      <w:lvlText w:val=""/>
      <w:lvlJc w:val="left"/>
    </w:lvl>
    <w:lvl w:ilvl="6" w:tplc="0ADA8B5C">
      <w:numFmt w:val="decimal"/>
      <w:lvlText w:val=""/>
      <w:lvlJc w:val="left"/>
    </w:lvl>
    <w:lvl w:ilvl="7" w:tplc="B1B28E78">
      <w:numFmt w:val="decimal"/>
      <w:lvlText w:val=""/>
      <w:lvlJc w:val="left"/>
    </w:lvl>
    <w:lvl w:ilvl="8" w:tplc="07FEF026">
      <w:numFmt w:val="decimal"/>
      <w:lvlText w:val=""/>
      <w:lvlJc w:val="left"/>
    </w:lvl>
  </w:abstractNum>
  <w:abstractNum w:abstractNumId="2" w15:restartNumberingAfterBreak="0">
    <w:nsid w:val="7D18436D"/>
    <w:multiLevelType w:val="hybridMultilevel"/>
    <w:tmpl w:val="BFF801FE"/>
    <w:lvl w:ilvl="0" w:tplc="C9AEA0D6">
      <w:start w:val="1"/>
      <w:numFmt w:val="decimal"/>
      <w:lvlText w:val="%1."/>
      <w:lvlJc w:val="left"/>
      <w:pPr>
        <w:ind w:left="504" w:hanging="288"/>
      </w:pPr>
    </w:lvl>
    <w:lvl w:ilvl="1" w:tplc="C400DEC6">
      <w:numFmt w:val="decimal"/>
      <w:lvlText w:val=""/>
      <w:lvlJc w:val="left"/>
    </w:lvl>
    <w:lvl w:ilvl="2" w:tplc="10026912">
      <w:numFmt w:val="decimal"/>
      <w:lvlText w:val=""/>
      <w:lvlJc w:val="left"/>
    </w:lvl>
    <w:lvl w:ilvl="3" w:tplc="36FEF962">
      <w:numFmt w:val="decimal"/>
      <w:lvlText w:val=""/>
      <w:lvlJc w:val="left"/>
    </w:lvl>
    <w:lvl w:ilvl="4" w:tplc="D34C897A">
      <w:numFmt w:val="decimal"/>
      <w:lvlText w:val=""/>
      <w:lvlJc w:val="left"/>
    </w:lvl>
    <w:lvl w:ilvl="5" w:tplc="ADD68476">
      <w:numFmt w:val="decimal"/>
      <w:lvlText w:val=""/>
      <w:lvlJc w:val="left"/>
    </w:lvl>
    <w:lvl w:ilvl="6" w:tplc="3626DA52">
      <w:numFmt w:val="decimal"/>
      <w:lvlText w:val=""/>
      <w:lvlJc w:val="left"/>
    </w:lvl>
    <w:lvl w:ilvl="7" w:tplc="098EFD18">
      <w:numFmt w:val="decimal"/>
      <w:lvlText w:val=""/>
      <w:lvlJc w:val="left"/>
    </w:lvl>
    <w:lvl w:ilvl="8" w:tplc="06ECD844">
      <w:numFmt w:val="decimal"/>
      <w:lvlText w:val=""/>
      <w:lvlJc w:val="left"/>
    </w:lvl>
  </w:abstractNum>
  <w:num w:numId="1" w16cid:durableId="1478064026">
    <w:abstractNumId w:val="0"/>
    <w:lvlOverride w:ilvl="0">
      <w:startOverride w:val="1"/>
    </w:lvlOverride>
  </w:num>
  <w:num w:numId="2" w16cid:durableId="855583533">
    <w:abstractNumId w:val="1"/>
    <w:lvlOverride w:ilvl="0">
      <w:startOverride w:val="1"/>
    </w:lvlOverride>
  </w:num>
  <w:num w:numId="3" w16cid:durableId="16717176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73F"/>
    <w:rsid w:val="000232F3"/>
    <w:rsid w:val="002235F9"/>
    <w:rsid w:val="00357000"/>
    <w:rsid w:val="00506084"/>
    <w:rsid w:val="005A773F"/>
    <w:rsid w:val="005C3C4F"/>
    <w:rsid w:val="005F00AC"/>
    <w:rsid w:val="0067310B"/>
    <w:rsid w:val="007778CE"/>
    <w:rsid w:val="007D202D"/>
    <w:rsid w:val="008753E1"/>
    <w:rsid w:val="008D71FA"/>
    <w:rsid w:val="00BF037B"/>
    <w:rsid w:val="00CC5433"/>
    <w:rsid w:val="00DA3921"/>
    <w:rsid w:val="00DA6DED"/>
    <w:rsid w:val="00E23F89"/>
    <w:rsid w:val="00F73C30"/>
    <w:rsid w:val="00FE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5381F"/>
  <w15:docId w15:val="{29322118-A072-44EC-99A7-DF7FBAB4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2574</Words>
  <Characters>14678</Characters>
  <Application>Microsoft Office Word</Application>
  <DocSecurity>0</DocSecurity>
  <Lines>122</Lines>
  <Paragraphs>34</Paragraphs>
  <ScaleCrop>false</ScaleCrop>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Pathak</cp:lastModifiedBy>
  <cp:revision>17</cp:revision>
  <dcterms:created xsi:type="dcterms:W3CDTF">2026-09-27T13:59:00Z</dcterms:created>
  <dcterms:modified xsi:type="dcterms:W3CDTF">2026-09-27T14:22:00Z</dcterms:modified>
</cp:coreProperties>
</file>