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6480" cy="204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iq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F1B2D"/>
        </w:rPr>
        <w:t>ExposureIQ — Stack and Architecture</w:t>
      </w:r>
    </w:p>
    <w:p>
      <w:r>
        <w:rPr>
          <w:i/>
          <w:color w:val="64748B"/>
        </w:rPr>
        <w:t>GraphRAG over SEC filings for the AI SIFI Monitor  ·  github.com/Ann100182/ai-sifi-monitor</w:t>
      </w:r>
    </w:p>
    <w:p>
      <w:pPr>
        <w:pStyle w:val="Heading1"/>
      </w:pPr>
      <w:r>
        <w:t>1. Summary</w:t>
      </w:r>
    </w:p>
    <w:p>
      <w:r>
        <w:rPr>
          <w:i w:val="0"/>
        </w:rPr>
        <w:t>ExposureIQ answers natural-language questions about hidden exposures in the AI compute buildout. It reads 147 SEC filings from 12 cloud and AI-infrastructure companies, uses Claude to extract structured facts (off-balance-sheet vehicles, investments, capex commitments, risk factors and hidden-risk signals) into a knowledge graph, and pairs that graph with a vector index of the filing text. A LangGraph state machine routes each question to graph search, vector search or both, then writes an answer in which every claim cites a specific filing.</w:t>
      </w:r>
    </w:p>
    <w:p>
      <w:r>
        <w:rPr>
          <w:i w:val="0"/>
        </w:rPr>
        <w:t>The thesis it serves: the AI buildout carries interlocking obligations (SPV debt, investor ⇄ customer ⇄ supplier loops, equity that returns as revenue) that no single balance sheet shows. Those signals live in the notes, risk factors and MD&amp;A, which is exactly where ExposureIQ looks.</w:t>
      </w:r>
    </w:p>
    <w:p>
      <w:pPr>
        <w:pStyle w:val="Heading1"/>
      </w:pPr>
      <w:r>
        <w:t>2.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148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iq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1. Build-time pipeline (top) and query-time LangGraph flow (bottom).</w:t>
      </w:r>
    </w:p>
    <w:p>
      <w:r>
        <w:rPr>
          <w:i w:val="0"/>
        </w:rPr>
        <w:t>The system has two halves. The build-time pipeline runs once (about 15 hours and $35 of Claude calls) and produces two local stores: a Kuzu property graph and a Chroma vector index. The query-time engine is a four-node LangGraph state machine that reads those stores and calls Claude two to four times per question.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456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46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Why this choice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Source data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SEC EDGAR (10-K, 10-Q, 20-F, DEF 14A, ARS)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Audited, public and citable; notes and risk factors hold the off-balance-sheet detail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Ingestion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requests, BeautifulSoup, lxml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Rate-limited EDGAR fetch (&lt;10 req/s); section-aware HTML parsing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Extraction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Sonnet 4.6 + Claude Haiku 4.5, Pydantic schemas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Sonnet for risk-critical sections (~65%), Haiku for the rest; JSON validated against the schema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Graph store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Kuzu 0.11 (embedded, Cypher)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pip-installable, no Docker or Java; replaced Neo4j for a zero-footprint laptop setup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Vector store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Chroma 1.5 (persistent, cosine)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Local, metadata filters by ticker and form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Embeddings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BAAI/bge-small-en-v1.5 via sentence-transformers (Apple MPS)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Runs locally; no second API key; ~15 min to embed 25k chunks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Orchestration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LangGraph 0.6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Explicit state machine, parallel fan-out, reducer-merged state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Reasoning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Sonnet 4.6 (default), Claude Opus 4.7 (multi-hop)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Quality-first query path; Opus only where multi-entity reasoning needs it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UI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Streamlit (tab 5 of the AI SIFI Monitor)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Same app as the market dashboards; no new service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Runtime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 3, local laptop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</w:r>
            <w:r>
              <w:rPr>
                <w:sz w:val="19"/>
              </w:rPr>
              <w:t>Only secret: ANTHROPIC_API_KEY</w:t>
            </w:r>
          </w:p>
        </w:tc>
      </w:tr>
    </w:tbl>
    <w:p/>
    <w:p>
      <w:pPr>
        <w:pStyle w:val="Heading1"/>
      </w:pPr>
      <w:r>
        <w:t>4. Input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7488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Companies (12)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Microsoft, Amazon, Alphabet, Oracle, Meta, IBM, Salesforce, Adobe, NVIDIA, ASML, CoreWeave, Broadcom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Roles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Hyperscalers, a neocloud (CoreWeave), SaaS consumers, the GPU supplier, custom silicon, lithography (foreign filer)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Forms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10-K, 10-Q, 20-F, DEF 14A, ARS (8-K / 6-K / S-1 deferred)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Period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Fiscal 2024 – 2026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Volume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147 filings, ~10M raw tokens, ~650 MB of HTML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Sections used</w:t>
            </w:r>
            <w:r>
              <w:rPr>
                <w:sz w:val="19"/>
              </w:rPr>
            </w:r>
          </w:p>
        </w:tc>
        <w:tc>
          <w:tcPr>
            <w:tcW w:type="dxa" w:w="7488"/>
          </w:tcPr>
          <w:p>
            <w:r>
              <w:rPr>
                <w:sz w:val="19"/>
              </w:rPr>
            </w:r>
            <w:r>
              <w:rPr>
                <w:sz w:val="19"/>
              </w:rPr>
              <w:t>Item 1A risk factors, Item 7 MD&amp;A, financial statements and notes, related-party transactions, compensation discussion</w:t>
            </w:r>
          </w:p>
        </w:tc>
      </w:tr>
    </w:tbl>
    <w:p/>
    <w:p>
      <w:pPr>
        <w:pStyle w:val="Heading1"/>
      </w:pPr>
      <w:r>
        <w:t>5. Build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176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8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 Fetch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fetch.py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Pulls filing indexes and primary documents from EDGAR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cache/raw (HTML)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 Parse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parse.py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Splits each filing into named sections with offsets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cache/parsed (sections.jsonl)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3. Extract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extract.py, prompts.py, schemas.py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reads each section and returns typed nodes, edges and hidden-risk signals with verbatim quotes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cache/extracted (JSON)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4. Canonicalize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canonicalize.py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Maps aliases (AWS → Amazon, Facebook → Meta)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5. Graph load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graph_load.py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Dedupes nodes, drops nodes without a real quote, writes 7 node tables and 13 edge tables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cache/kuzu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6. Vector load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vector_load.py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Chunks sections and embeds them locally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cache/chroma</w:t>
            </w:r>
          </w:p>
        </w:tc>
      </w:tr>
    </w:tbl>
    <w:p/>
    <w:p>
      <w:r>
        <w:rPr>
          <w:i w:val="0"/>
        </w:rPr>
        <w:t>The repo ships the parsed sections and the extracted JSON (51 MB), so anyone who clones it runs only stages 5 and 6: about 15 minutes, no API cost.</w:t>
      </w:r>
    </w:p>
    <w:p>
      <w:pPr>
        <w:pStyle w:val="Heading1"/>
      </w:pPr>
      <w:r>
        <w:t>6. Knowledge graph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34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Node types (7)</w:t>
            </w:r>
            <w:r>
              <w:rPr>
                <w:sz w:val="19"/>
              </w:rPr>
            </w:r>
          </w:p>
        </w:tc>
        <w:tc>
          <w:tcPr>
            <w:tcW w:type="dxa" w:w="7344"/>
          </w:tcPr>
          <w:p>
            <w:r>
              <w:rPr>
                <w:sz w:val="19"/>
              </w:rPr>
            </w:r>
            <w:r>
              <w:rPr>
                <w:sz w:val="19"/>
              </w:rPr>
              <w:t>Company, AILab (OpenAI, Anthropic, xAI, Mistral, Cohere, Perplexity, Databricks), CapexCommitment, OffBalanceEntity, Investment, RiskFactor, HiddenRiskSignal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Edge types (13)</w:t>
            </w:r>
            <w:r>
              <w:rPr>
                <w:sz w:val="19"/>
              </w:rPr>
            </w:r>
          </w:p>
        </w:tc>
        <w:tc>
          <w:tcPr>
            <w:tcW w:type="dxa" w:w="7344"/>
          </w:tcPr>
          <w:p>
            <w:r>
              <w:rPr>
                <w:sz w:val="19"/>
              </w:rPr>
            </w:r>
            <w:r>
              <w:rPr>
                <w:sz w:val="19"/>
              </w:rPr>
              <w:t>SELLS_COMPUTE_TO, BUYS_COMPUTE_FROM, INVESTED_IN, COMMITTED_CAPEX, SPONSORS, BENEFITS, CITES_RISK, HAS_RISK_SIGNAL, CIRCULAR_WITH, ROUND_TRIPS_WITH, NAMES_COUNTERPARTY, SUPPLIES, DEPENDS_ON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Hidden-risk types (8)</w:t>
            </w:r>
            <w:r>
              <w:rPr>
                <w:sz w:val="19"/>
              </w:rPr>
            </w:r>
          </w:p>
        </w:tc>
        <w:tc>
          <w:tcPr>
            <w:tcW w:type="dxa" w:w="7344"/>
          </w:tcPr>
          <w:p>
            <w:r>
              <w:rPr>
                <w:sz w:val="19"/>
              </w:rPr>
            </w:r>
            <w:r>
              <w:rPr>
                <w:sz w:val="19"/>
              </w:rPr>
              <w:t>HIDDEN_LEVERAGE, CIRCULARITY, REVENUE_ROUNDTRIP, CAPEX_ROI_GAP, EXECUTION_RISK, COST_OPACITY, CUSTOMER_CONCENTRATION, SUPPLIER_CONCENTRATION; severity 1–5 (5 = could trigger a cascade)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Provenance</w:t>
            </w:r>
            <w:r>
              <w:rPr>
                <w:sz w:val="19"/>
              </w:rPr>
            </w:r>
          </w:p>
        </w:tc>
        <w:tc>
          <w:tcPr>
            <w:tcW w:type="dxa" w:w="7344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node keeps a list of cik:accession references and a verbatim quote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Size</w:t>
            </w:r>
            <w:r>
              <w:rPr>
                <w:sz w:val="19"/>
              </w:rPr>
            </w:r>
          </w:p>
        </w:tc>
        <w:tc>
          <w:tcPr>
            <w:tcW w:type="dxa" w:w="7344"/>
          </w:tcPr>
          <w:p>
            <w:r>
              <w:rPr>
                <w:sz w:val="19"/>
              </w:rPr>
            </w:r>
            <w:r>
              <w:rPr>
                <w:sz w:val="19"/>
              </w:rPr>
              <w:t>4,084 nodes, 3,583 edges, 1,631 unique hidden-risk signals</w:t>
            </w:r>
          </w:p>
        </w:tc>
      </w:tr>
    </w:tbl>
    <w:p/>
    <w:p>
      <w:pPr>
        <w:pStyle w:val="Heading1"/>
      </w:pPr>
      <w:r>
        <w:t>7. Query engine</w:t>
      </w:r>
    </w:p>
    <w:p>
      <w:r>
        <w:rPr>
          <w:i w:val="0"/>
        </w:rPr>
        <w:t>graphrag/query.py compiles a LangGraph StateGraph with four nodes: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590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classify</w:t>
            </w:r>
            <w:r>
              <w:rPr>
                <w:sz w:val="19"/>
              </w:rPr>
            </w:r>
          </w:p>
        </w:tc>
        <w:tc>
          <w:tcPr>
            <w:tcW w:type="dxa" w:w="5904"/>
          </w:tcPr>
          <w:p>
            <w:r>
              <w:rPr>
                <w:sz w:val="19"/>
              </w:rPr>
            </w:r>
            <w:r>
              <w:rPr>
                <w:sz w:val="19"/>
              </w:rPr>
              <w:t>Chooses GRAPH, VECTOR or HYBRID retrieval, rates the question SIMPLE or MULTIHOP, and names the filing sections likely to hold the answer (MD&amp;A, risk factors, notes, business, governance)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Sonnet 4.6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graph_search</w:t>
            </w:r>
            <w:r>
              <w:rPr>
                <w:sz w:val="19"/>
              </w:rPr>
            </w:r>
          </w:p>
        </w:tc>
        <w:tc>
          <w:tcPr>
            <w:tcW w:type="dxa" w:w="5904"/>
          </w:tcPr>
          <w:p>
            <w:r>
              <w:rPr>
                <w:sz w:val="19"/>
              </w:rPr>
            </w:r>
            <w:r>
              <w:rPr>
                <w:sz w:val="19"/>
              </w:rPr>
              <w:t>Writes 1–3 Cypher queries against the schema and runs them on Kuzu. Failed queries go back to the model once with the Kuzu error. Each row resolves to a ticker, form and filing date.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Sonnet 4.6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vector_search</w:t>
            </w:r>
            <w:r>
              <w:rPr>
                <w:sz w:val="19"/>
              </w:rPr>
            </w:r>
          </w:p>
        </w:tc>
        <w:tc>
          <w:tcPr>
            <w:tcW w:type="dxa" w:w="5904"/>
          </w:tcPr>
          <w:p>
            <w:r>
              <w:rPr>
                <w:sz w:val="19"/>
              </w:rPr>
            </w:r>
            <w:r>
              <w:rPr>
                <w:sz w:val="19"/>
              </w:rPr>
              <w:t>Embeds the question and searches Chroma filtered to the companies it names. Half the budget is restricted to the chosen sections, mapped across forms (MD&amp;A = item_7 in a 10-K, part1_item2 in a 10-Q, item_5 in a 20-F). Multi-hop questions also get each company's latest backlog (RPO) figures via exact-text match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Local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synthesize</w:t>
            </w:r>
            <w:r>
              <w:rPr>
                <w:sz w:val="19"/>
              </w:rPr>
            </w:r>
          </w:p>
        </w:tc>
        <w:tc>
          <w:tcPr>
            <w:tcW w:type="dxa" w:w="5904"/>
          </w:tcPr>
          <w:p>
            <w:r>
              <w:rPr>
                <w:sz w:val="19"/>
              </w:rPr>
            </w:r>
            <w:r>
              <w:rPr>
                <w:sz w:val="19"/>
              </w:rPr>
              <w:t>Writes a cited answer from the evidence only; flags hidden-risk patterns; says "insufficient evidence" rather than guessing; labels inferred links as inference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Sonnet 4.6, or Opus 4.7 if MULTIHOP</w:t>
            </w:r>
          </w:p>
        </w:tc>
      </w:tr>
    </w:tbl>
    <w:p/>
    <w:p>
      <w:pPr>
        <w:pStyle w:val="ListBullet"/>
      </w:pPr>
      <w:r>
        <w:rPr>
          <w:b/>
        </w:rPr>
        <w:t>Parallel retrieval.</w:t>
      </w:r>
      <w:r>
        <w:t xml:space="preserve"> Hybrid and multi-hop questions fan out to both retrievers in the same LangGraph superstep; synthesize runs once when both finish.</w:t>
      </w:r>
    </w:p>
    <w:p>
      <w:pPr>
        <w:pStyle w:val="ListBullet"/>
      </w:pPr>
      <w:r>
        <w:rPr>
          <w:b/>
        </w:rPr>
        <w:t>Cost tracking.</w:t>
      </w:r>
      <w:r>
        <w:t xml:space="preserve"> Every Claude call is recorded with model, tokens, cost and latency and shown in the UI.</w:t>
      </w:r>
    </w:p>
    <w:p>
      <w:pPr>
        <w:pStyle w:val="ListBullet"/>
      </w:pPr>
      <w:r>
        <w:rPr>
          <w:b/>
        </w:rPr>
        <w:t>Read-only graph.</w:t>
      </w:r>
      <w:r>
        <w:t xml:space="preserve"> Kuzu opens read-only, so the app and the CLI can query at the same time.</w:t>
      </w:r>
    </w:p>
    <w:p>
      <w:pPr>
        <w:pStyle w:val="Heading1"/>
      </w:pPr>
      <w:r>
        <w:t>8.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6768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Graph + vector, not either alone</w:t>
            </w:r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 search finds similar text; the graph answers structural questions (who sponsors which SPV, who invests in whom) and traverses counterparty webs.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Grounding filter at load</w:t>
            </w:r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Nodes without a real verbatim quote are dropped. This removed a hallucinated Salesforce "Hyperion" that had overwritten Meta's real $27B Hyperion JV with Blue Owl.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Inference is labelled, never asserted</w:t>
            </w:r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Filers often omit counterparty names. Oracle never names OpenAI; its backlog rising from $138B to $638B in FY26 is cited as consistent with the reported deal, marked as inference.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Model routing by complexity</w:t>
            </w:r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Sonnet handles routing and simple answers; Opus is reserved for multi-hop synthesis, where it earns its cost.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 embeddings and an embedded graph</w:t>
            </w:r>
            <w:r>
              <w:rPr>
                <w:sz w:val="19"/>
              </w:rPr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No Docker, Java or second API key; the whole system runs on a laptop.</w:t>
            </w:r>
          </w:p>
        </w:tc>
      </w:tr>
    </w:tbl>
    <w:p/>
    <w:p>
      <w:pPr>
        <w:pStyle w:val="Heading1"/>
      </w:pPr>
      <w:r>
        <w:t>9. Cost and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8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Figure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One-off extraction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$35.21 (Haiku $10.80, Sonnet $24.41), ~14 hours, 147 filings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 build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~17 minutes locally, $0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Simple question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~$0.02, ~15 seconds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Multi-hop question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</w:r>
            <w:r>
              <w:rPr>
                <w:sz w:val="19"/>
              </w:rPr>
              <w:t>~$0.06–$0.18, 25–40 seconds</w:t>
            </w:r>
          </w:p>
        </w:tc>
      </w:tr>
    </w:tbl>
    <w:p/>
    <w:p>
      <w:pPr>
        <w:pStyle w:val="Heading1"/>
      </w:pPr>
      <w:r>
        <w:t>10. Evaluation</w:t>
      </w:r>
    </w:p>
    <w:p>
      <w:r>
        <w:rPr>
          <w:i w:val="0"/>
        </w:rPr>
        <w:t>A 26-question set (8 graph, 11 text, 6 multi-hop, 1 out-of-scope) is graded by Claude Opus 4.7. Faithfulness splits each answer into factual claims and checks each against the retrieved evidence; relevance rates 1–5 whether the answer addresses the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5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Faithfulness (strict)</w:t>
            </w:r>
          </w:p>
        </w:tc>
        <w:tc>
          <w:tcPr>
            <w:tcW w:type="dxa" w:w="15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Faithfulness (lenient)</w:t>
            </w:r>
          </w:p>
        </w:tc>
        <w:tc>
          <w:tcPr>
            <w:tcW w:type="dxa" w:w="15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Relevance (≥4/5)</w:t>
            </w:r>
          </w:p>
        </w:tc>
        <w:tc>
          <w:tcPr>
            <w:tcW w:type="dxa" w:w="1584"/>
            <w:shd w:val="clear" w:color="auto" w:fill="0F1B2D"/>
          </w:tcPr>
          <w:p>
            <w:r/>
            <w:r>
              <w:rPr>
                <w:b/>
                <w:color w:val="FFFFFF"/>
                <w:sz w:val="19"/>
              </w:rPr>
              <w:t>Mean relevance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Original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93.2%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95.7%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4.73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+ Grounding-only answer prompt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97.1%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98.1%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92%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4.65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 Section-aware retrieval (current)</w:t>
            </w:r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96.9%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98.0%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  <w:r>
              <w:rPr>
                <w:sz w:val="19"/>
              </w:rPr>
              <w:t>4.81</w:t>
            </w:r>
          </w:p>
        </w:tc>
      </w:tr>
    </w:tbl>
    <w:p/>
    <w:p>
      <w:r>
        <w:rPr>
          <w:i w:val="0"/>
        </w:rPr>
        <w:t>Forbidding outside knowledge lifted faithfulness but exposed retrieval gaps; section-aware retrieval closed them (e.g. Meta's capex outlook now comes from MD&amp;A, not proxy tables). The grader was audited by hand and leans slightly strict. One run per configuration on 26 questions, with a same-family judge: indicative, not a benchmark.</w:t>
      </w:r>
    </w:p>
    <w:p>
      <w:pPr>
        <w:pStyle w:val="Heading1"/>
      </w:pPr>
      <w:r>
        <w:t>11. Limitations and roadmap</w:t>
      </w:r>
    </w:p>
    <w:p>
      <w:pPr>
        <w:pStyle w:val="ListBullet"/>
      </w:pPr>
      <w:r>
        <w:rPr>
          <w:b/>
        </w:rPr>
        <w:t>Extraction errors.</w:t>
      </w:r>
      <w:r>
        <w:t xml:space="preserve"> Graph facts come from an LLM; answers still need a human read.</w:t>
      </w:r>
    </w:p>
    <w:p>
      <w:pPr>
        <w:pStyle w:val="ListBullet"/>
      </w:pPr>
      <w:r>
        <w:rPr>
          <w:b/>
        </w:rPr>
        <w:t>Filings only.</w:t>
      </w:r>
      <w:r>
        <w:t xml:space="preserve"> Undisclosed relationships appear only as labelled inference. Next: news as a separate, clearly labelled evidence tier.</w:t>
      </w:r>
    </w:p>
    <w:p>
      <w:pPr>
        <w:pStyle w:val="ListBullet"/>
      </w:pPr>
      <w:r>
        <w:rPr>
          <w:b/>
        </w:rPr>
        <w:t>Dropped edges.</w:t>
      </w:r>
      <w:r>
        <w:t xml:space="preserve"> About 700 extracted edges fall outside the schema's allowed type pairs; widening the schema would recover them.</w:t>
      </w:r>
    </w:p>
    <w:p>
      <w:pPr>
        <w:pStyle w:val="ListBullet"/>
      </w:pPr>
      <w:r>
        <w:rPr>
          <w:b/>
        </w:rPr>
        <w:t>Snapshot corpus.</w:t>
      </w:r>
      <w:r>
        <w:t xml:space="preserve"> Re-run the pipeline to add new filings; 8-K, 6-K and S-1 are next.</w:t>
      </w:r>
    </w:p>
    <w:p>
      <w:pPr>
        <w:pStyle w:val="ListBullet"/>
      </w:pPr>
      <w:r>
        <w:rPr>
          <w:b/>
        </w:rPr>
        <w:t>Evaluation.</w:t>
      </w:r>
      <w:r>
        <w:t xml:space="preserve"> Grow the 26-question set, add a judge from a different model family, and run each configuration several times.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B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B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B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