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B2D"/>
        </w:rPr>
        <w:t>ExposureIQ — 3-Minute Demo Script</w:t>
      </w:r>
    </w:p>
    <w:p>
      <w:r>
        <w:rPr>
          <w:i/>
          <w:color w:val="64748B"/>
        </w:rPr>
        <w:t>Audience: investors, analysts, hiring managers and portfolio reviewers  ·  Length: 3:00  ·  Pace: ~140 words/min</w:t>
      </w:r>
    </w:p>
    <w:p>
      <w:pPr>
        <w:pStyle w:val="Heading1"/>
      </w:pPr>
      <w:r>
        <w:t>Before you record</w:t>
      </w:r>
    </w:p>
    <w:p>
      <w:pPr>
        <w:pStyle w:val="ListNumber"/>
      </w:pPr>
      <w:r>
        <w:t>Start the app: source .venv/bin/activate &amp;&amp; streamlit run app.py, then open http://localhost:8501 → ExposureIQ.</w:t>
      </w:r>
    </w:p>
    <w:p>
      <w:pPr>
        <w:pStyle w:val="ListNumber"/>
      </w:pPr>
      <w:r>
        <w:t>Warm up: ask any question once before recording; the first query loads the embedding model.</w:t>
      </w:r>
    </w:p>
    <w:p>
      <w:pPr>
        <w:pStyle w:val="ListNumber"/>
      </w:pPr>
      <w:r>
        <w:t>Use two browser tabs (each is its own session). In tab A, run "Which SPVs does Meta sponsor?". In tab B, run "Trace the OpenAI counterparty web across Microsoft, Oracle, and CoreWeave." The multi-hop answer takes ~40 seconds, so have it ready before you hit record.</w:t>
      </w:r>
    </w:p>
    <w:p>
      <w:pPr>
        <w:pStyle w:val="ListNumber"/>
      </w:pPr>
      <w:r>
        <w:t>Have the architecture diagram (docs/exposureiq_architecture.png) open in a third tab or window.</w:t>
      </w:r>
    </w:p>
    <w:p>
      <w:pPr>
        <w:pStyle w:val="ListNumber"/>
      </w:pPr>
      <w:r>
        <w:t>Turn on Do Not Disturb; record the full browser window so the URL bar shows localhost.</w:t>
      </w:r>
    </w:p>
    <w:p>
      <w:pPr>
        <w:pStyle w:val="ListNumber"/>
      </w:pPr>
      <w:r>
        <w:t>Pace: about 140 words per minute. The spoken script is ~370 words (about 2:40), leaving ~20 seconds for clicks and pauses.</w:t>
      </w:r>
    </w:p>
    <w:p>
      <w:pPr>
        <w:pStyle w:val="Heading1"/>
      </w:pPr>
      <w:r>
        <w:t>Arc</w:t>
      </w:r>
    </w:p>
    <w:p>
      <w:r>
        <w:rPr>
          <w:i w:val="0"/>
        </w:rPr>
        <w:t>Idea → input data → what I built → two live questions → close. Spend most of the time on the two demos; the Oracle inference moment is the payoff, so don't rush it.</w:t>
      </w:r>
    </w:p>
    <w:p>
      <w:pPr>
        <w:pStyle w:val="Heading1"/>
      </w:pPr>
      <w:r>
        <w:t>Script</w:t>
      </w:r>
    </w:p>
    <w:p>
      <w:pPr>
        <w:pStyle w:val="Heading2"/>
      </w:pPr>
      <w:r>
        <w:t>0:00 – 0:20   The idea</w:t>
      </w:r>
    </w:p>
    <w:p>
      <w:r>
        <w:rPr>
          <w:b/>
          <w:color w:val="64748B"/>
        </w:rPr>
        <w:t xml:space="preserve">Show: </w:t>
      </w:r>
      <w:r>
        <w:rPr>
          <w:i/>
        </w:rPr>
        <w:t>ExposureIQ banner at the top of the tab.</w:t>
      </w:r>
    </w:p>
    <w:p>
      <w:r>
        <w:rPr>
          <w:b/>
          <w:color w:val="0F1B2D"/>
        </w:rPr>
        <w:t xml:space="preserve">Say: </w:t>
      </w:r>
      <w:r>
        <w:t>“The AI buildout is financed in ways balance sheets don't show: data-center SPVs, investors who are also customers, contracts for capacity that doesn't exist yet. Those details sit in the footnotes of SEC filings. ExposureIQ reads the footnotes so you don't have to.”</w:t>
      </w:r>
    </w:p>
    <w:p>
      <w:pPr>
        <w:pStyle w:val="Heading2"/>
      </w:pPr>
      <w:r>
        <w:t>0:20 – 0:45   The input data</w:t>
      </w:r>
    </w:p>
    <w:p>
      <w:r>
        <w:rPr>
          <w:b/>
          <w:color w:val="64748B"/>
        </w:rPr>
        <w:t xml:space="preserve">Show: </w:t>
      </w:r>
      <w:r>
        <w:rPr>
          <w:i/>
        </w:rPr>
        <w:t>Scroll to the starter questions. Optionally flash the repo's graphrag/cache/parsed folder.</w:t>
      </w:r>
    </w:p>
    <w:p>
      <w:r>
        <w:rPr>
          <w:b/>
          <w:color w:val="0F1B2D"/>
        </w:rPr>
        <w:t xml:space="preserve">Say: </w:t>
      </w:r>
      <w:r>
        <w:t>“The input is 147 SEC filings — 10-Ks, 10-Qs, 20-Fs and proxies — from twelve companies at the center of AI compute: the hyperscalers, CoreWeave, NVIDIA, Broadcom and ASML, fiscal 2024 through 2026. I focused on the sections where the risk hides: risk factors, MD&amp;A, and the notes to the financial statements.”</w:t>
      </w:r>
    </w:p>
    <w:p>
      <w:pPr>
        <w:pStyle w:val="Heading2"/>
      </w:pPr>
      <w:r>
        <w:t>0:45 – 1:15   What I built</w:t>
      </w:r>
    </w:p>
    <w:p>
      <w:r>
        <w:rPr>
          <w:b/>
          <w:color w:val="64748B"/>
        </w:rPr>
        <w:t xml:space="preserve">Show: </w:t>
      </w:r>
      <w:r>
        <w:rPr>
          <w:i/>
        </w:rPr>
        <w:t>Show the architecture diagram (Figure 1 of the architecture doc) or describe it over the tab.</w:t>
      </w:r>
    </w:p>
    <w:p>
      <w:r>
        <w:rPr>
          <w:b/>
          <w:color w:val="0F1B2D"/>
        </w:rPr>
        <w:t xml:space="preserve">Say: </w:t>
      </w:r>
      <w:r>
        <w:t>“Claude read every section and pulled out structured facts — off-balance-sheet vehicles, investments, capex commitments and eight types of hidden-risk signal — each with a verbatim quote. That became a knowledge graph of about four thousand nodes, next to a vector index of the filing text. At question time a LangGraph pipeline decides whether to query the graph, the text, or both in parallel, then writes an answer where every claim cites a filing.”</w:t>
      </w:r>
    </w:p>
    <w:p>
      <w:pPr>
        <w:pStyle w:val="Heading2"/>
      </w:pPr>
      <w:r>
        <w:t>1:15 – 1:50   Demo 1 — a structural question</w:t>
      </w:r>
    </w:p>
    <w:p>
      <w:r>
        <w:rPr>
          <w:b/>
          <w:color w:val="64748B"/>
        </w:rPr>
        <w:t xml:space="preserve">Show: </w:t>
      </w:r>
      <w:r>
        <w:rPr>
          <w:i/>
        </w:rPr>
        <w:t>Click "Which SPVs does Meta sponsor?". Point at the answer table, then open the Evidence panel and the Cypher.</w:t>
      </w:r>
    </w:p>
    <w:p>
      <w:r>
        <w:rPr>
          <w:b/>
          <w:color w:val="0F1B2D"/>
        </w:rPr>
        <w:t xml:space="preserve">Say: </w:t>
      </w:r>
      <w:r>
        <w:t>“First, a structural question: which SPVs does Meta sponsor? This one goes to the graph. At the top is Hyperion — Meta's twenty-seven-billion-dollar data-center joint venture with Blue Owl — plus over a hundred billion dollars of leases that haven't started yet. Every row links back to the filing and the query that found it. That cost about two cents.”</w:t>
      </w:r>
    </w:p>
    <w:p>
      <w:pPr>
        <w:pStyle w:val="Heading2"/>
      </w:pPr>
      <w:r>
        <w:t>1:50 – 2:35   Demo 2 — a multi-hop question</w:t>
      </w:r>
    </w:p>
    <w:p>
      <w:r>
        <w:rPr>
          <w:b/>
          <w:color w:val="64748B"/>
        </w:rPr>
        <w:t xml:space="preserve">Show: </w:t>
      </w:r>
      <w:r>
        <w:rPr>
          <w:i/>
        </w:rPr>
        <w:t>Switch to the second browser tab where "Trace the OpenAI counterparty web…" has already run. Scroll to the Oracle section, then open the Pipeline trace.</w:t>
      </w:r>
    </w:p>
    <w:p>
      <w:r>
        <w:rPr>
          <w:b/>
          <w:color w:val="0F1B2D"/>
        </w:rPr>
        <w:t xml:space="preserve">Say: </w:t>
      </w:r>
      <w:r>
        <w:t>“Now a harder one: trace the OpenAI web across Microsoft, Oracle and CoreWeave. This is multi-hop, so it searches the graph and the text in parallel and hands the answer to Opus. Microsoft's thirteen-billion-dollar stake goes out; a two-hundred-fifty-billion-dollar Azure commitment comes back. CoreWeave's OpenAI contract is backed by debt where OpenAI holds a lien. And Oracle never names OpenAI in any filing — so the answer cites Oracle's backlog jumping from 138 to 638 billion dollars, and labels the link as inference, not disclosure.”</w:t>
      </w:r>
    </w:p>
    <w:p>
      <w:pPr>
        <w:pStyle w:val="Heading2"/>
      </w:pPr>
      <w:r>
        <w:t>2:35 – 3:00   Close</w:t>
      </w:r>
    </w:p>
    <w:p>
      <w:r>
        <w:rPr>
          <w:b/>
          <w:color w:val="64748B"/>
        </w:rPr>
        <w:t xml:space="preserve">Show: </w:t>
      </w:r>
      <w:r>
        <w:rPr>
          <w:i/>
        </w:rPr>
        <w:t>Pipeline trace visible, then the GitHub repo page.</w:t>
      </w:r>
    </w:p>
    <w:p>
      <w:r>
        <w:rPr>
          <w:b/>
          <w:color w:val="0F1B2D"/>
        </w:rPr>
        <w:t xml:space="preserve">Say: </w:t>
      </w:r>
      <w:r>
        <w:t>“Simple questions cost about two cents and complex ones about ten to thirteen. The whole thing runs on a laptop, and the repo includes the extracted data, so anyone can rebuild it in fifteen minutes. Next I'm adding news as a separate evidence source for the deals that filings won't name. Thanks for watching.”</w:t>
      </w:r>
    </w:p>
    <w:p>
      <w:pPr>
        <w:pStyle w:val="Heading1"/>
      </w:pPr>
      <w:r>
        <w:t>Backup questions</w:t>
      </w:r>
    </w:p>
    <w:p>
      <w:r>
        <w:rPr>
          <w:i w:val="0"/>
        </w:rPr>
        <w:t>If a live answer is slow or weak, switch to one of these (both tested):</w:t>
      </w:r>
    </w:p>
    <w:p>
      <w:pPr>
        <w:pStyle w:val="ListBullet"/>
      </w:pPr>
      <w:r>
        <w:t>"Which companies have the most severe customer concentration risk signals?" — Broadcom's largest customer is 32% of revenue and rising; NVIDIA's top three direct customers are 54%.</w:t>
      </w:r>
    </w:p>
    <w:p>
      <w:pPr>
        <w:pStyle w:val="ListBullet"/>
      </w:pPr>
      <w:r>
        <w:t>"What hidden-leverage signals above severity 4 appear in the latest 10-Ks?"</w:t>
      </w:r>
    </w:p>
    <w:p>
      <w:pPr>
        <w:pStyle w:val="Heading1"/>
      </w:pPr>
      <w:r>
        <w:t>Numbers to have at hand</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0F1B2D"/>
          </w:tcPr>
          <w:p>
            <w:r/>
            <w:r>
              <w:rPr>
                <w:b/>
                <w:color w:val="FFFFFF"/>
                <w:sz w:val="19"/>
              </w:rPr>
              <w:t>Fact</w:t>
            </w:r>
          </w:p>
        </w:tc>
        <w:tc>
          <w:tcPr>
            <w:tcW w:type="dxa" w:w="6192"/>
            <w:shd w:val="clear" w:color="auto" w:fill="0F1B2D"/>
          </w:tcPr>
          <w:p>
            <w:r/>
            <w:r>
              <w:rPr>
                <w:b/>
                <w:color w:val="FFFFFF"/>
                <w:sz w:val="19"/>
              </w:rPr>
              <w:t>Value</w:t>
            </w:r>
          </w:p>
        </w:tc>
      </w:tr>
      <w:tr>
        <w:tc>
          <w:tcPr>
            <w:tcW w:type="dxa" w:w="3456"/>
          </w:tcPr>
          <w:p>
            <w:r>
              <w:rPr>
                <w:sz w:val="19"/>
              </w:rPr>
            </w:r>
            <w:r>
              <w:rPr>
                <w:sz w:val="19"/>
              </w:rPr>
              <w:t>Filings / companies / years</w:t>
            </w:r>
          </w:p>
        </w:tc>
        <w:tc>
          <w:tcPr>
            <w:tcW w:type="dxa" w:w="6192"/>
          </w:tcPr>
          <w:p>
            <w:r>
              <w:rPr>
                <w:sz w:val="19"/>
              </w:rPr>
            </w:r>
            <w:r>
              <w:rPr>
                <w:sz w:val="19"/>
              </w:rPr>
              <w:t>147 / 12 / FY2024–2026</w:t>
            </w:r>
          </w:p>
        </w:tc>
      </w:tr>
      <w:tr>
        <w:tc>
          <w:tcPr>
            <w:tcW w:type="dxa" w:w="3456"/>
          </w:tcPr>
          <w:p>
            <w:r>
              <w:rPr>
                <w:sz w:val="19"/>
              </w:rPr>
            </w:r>
            <w:r>
              <w:rPr>
                <w:sz w:val="19"/>
              </w:rPr>
              <w:t>Graph</w:t>
            </w:r>
          </w:p>
        </w:tc>
        <w:tc>
          <w:tcPr>
            <w:tcW w:type="dxa" w:w="6192"/>
          </w:tcPr>
          <w:p>
            <w:r>
              <w:rPr>
                <w:sz w:val="19"/>
              </w:rPr>
            </w:r>
            <w:r>
              <w:rPr>
                <w:sz w:val="19"/>
              </w:rPr>
              <w:t>4,084 nodes, 3,583 edges, 1,631 hidden-risk signals</w:t>
            </w:r>
          </w:p>
        </w:tc>
      </w:tr>
      <w:tr>
        <w:tc>
          <w:tcPr>
            <w:tcW w:type="dxa" w:w="3456"/>
          </w:tcPr>
          <w:p>
            <w:r>
              <w:rPr>
                <w:sz w:val="19"/>
              </w:rPr>
            </w:r>
            <w:r>
              <w:rPr>
                <w:sz w:val="19"/>
              </w:rPr>
              <w:t>One-off extraction cost</w:t>
            </w:r>
          </w:p>
        </w:tc>
        <w:tc>
          <w:tcPr>
            <w:tcW w:type="dxa" w:w="6192"/>
          </w:tcPr>
          <w:p>
            <w:r>
              <w:rPr>
                <w:sz w:val="19"/>
              </w:rPr>
            </w:r>
            <w:r>
              <w:rPr>
                <w:sz w:val="19"/>
              </w:rPr>
              <w:t>$35 (about 14 hours)</w:t>
            </w:r>
          </w:p>
        </w:tc>
      </w:tr>
      <w:tr>
        <w:tc>
          <w:tcPr>
            <w:tcW w:type="dxa" w:w="3456"/>
          </w:tcPr>
          <w:p>
            <w:r>
              <w:rPr>
                <w:sz w:val="19"/>
              </w:rPr>
            </w:r>
            <w:r>
              <w:rPr>
                <w:sz w:val="19"/>
              </w:rPr>
              <w:t>Cost per question</w:t>
            </w:r>
          </w:p>
        </w:tc>
        <w:tc>
          <w:tcPr>
            <w:tcW w:type="dxa" w:w="6192"/>
          </w:tcPr>
          <w:p>
            <w:r>
              <w:rPr>
                <w:sz w:val="19"/>
              </w:rPr>
            </w:r>
            <w:r>
              <w:rPr>
                <w:sz w:val="19"/>
              </w:rPr>
              <w:t>~$0.02 simple, ~$0.06–$0.13 multi-hop</w:t>
            </w:r>
          </w:p>
        </w:tc>
      </w:tr>
      <w:tr>
        <w:tc>
          <w:tcPr>
            <w:tcW w:type="dxa" w:w="3456"/>
          </w:tcPr>
          <w:p>
            <w:r>
              <w:rPr>
                <w:sz w:val="19"/>
              </w:rPr>
            </w:r>
            <w:r>
              <w:rPr>
                <w:sz w:val="19"/>
              </w:rPr>
              <w:t>Meta Hyperion JV</w:t>
            </w:r>
          </w:p>
        </w:tc>
        <w:tc>
          <w:tcPr>
            <w:tcW w:type="dxa" w:w="6192"/>
          </w:tcPr>
          <w:p>
            <w:r>
              <w:rPr>
                <w:sz w:val="19"/>
              </w:rPr>
            </w:r>
            <w:r>
              <w:rPr>
                <w:sz w:val="19"/>
              </w:rPr>
              <w:t>$27B, with Blue Owl</w:t>
            </w:r>
          </w:p>
        </w:tc>
      </w:tr>
      <w:tr>
        <w:tc>
          <w:tcPr>
            <w:tcW w:type="dxa" w:w="3456"/>
          </w:tcPr>
          <w:p>
            <w:r>
              <w:rPr>
                <w:sz w:val="19"/>
              </w:rPr>
            </w:r>
            <w:r>
              <w:rPr>
                <w:sz w:val="19"/>
              </w:rPr>
              <w:t>Oracle backlog (RPO)</w:t>
            </w:r>
          </w:p>
        </w:tc>
        <w:tc>
          <w:tcPr>
            <w:tcW w:type="dxa" w:w="6192"/>
          </w:tcPr>
          <w:p>
            <w:r>
              <w:rPr>
                <w:sz w:val="19"/>
              </w:rPr>
            </w:r>
            <w:r>
              <w:rPr>
                <w:sz w:val="19"/>
              </w:rPr>
              <w:t>$138B (May 2025) → $638B (May 2026) → $664B (Aug 2026)</w:t>
            </w:r>
          </w:p>
        </w:tc>
      </w:tr>
      <w:tr>
        <w:tc>
          <w:tcPr>
            <w:tcW w:type="dxa" w:w="3456"/>
          </w:tcPr>
          <w:p>
            <w:r>
              <w:rPr>
                <w:sz w:val="19"/>
              </w:rPr>
            </w:r>
            <w:r>
              <w:rPr>
                <w:sz w:val="19"/>
              </w:rPr>
              <w:t>Microsoft ↔ OpenAI</w:t>
            </w:r>
          </w:p>
        </w:tc>
        <w:tc>
          <w:tcPr>
            <w:tcW w:type="dxa" w:w="6192"/>
          </w:tcPr>
          <w:p>
            <w:r>
              <w:rPr>
                <w:sz w:val="19"/>
              </w:rPr>
            </w:r>
            <w:r>
              <w:rPr>
                <w:sz w:val="19"/>
              </w:rPr>
              <w:t>$13B funding commitment; $250B incremental Azure contract</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B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B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B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