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3.png" ContentType="image/png"/>
  <Override PartName="/word/media/rId86.png" ContentType="image/png"/>
  <Override PartName="/word/media/rId31.png" ContentType="image/png"/>
  <Override PartName="/word/media/rId27.png" ContentType="image/png"/>
  <Override PartName="/word/media/rId154.png" ContentType="image/png"/>
  <Override PartName="/word/media/rId163.png" ContentType="image/png"/>
  <Override PartName="/word/media/rId151.png" ContentType="image/png"/>
  <Override PartName="/word/media/rId160.png" ContentType="image/png"/>
  <Override PartName="/word/media/rId157.png" ContentType="image/png"/>
  <Override PartName="/word/media/rId166.png" ContentType="image/png"/>
  <Override PartName="/word/media/rId173.png" ContentType="image/png"/>
  <Override PartName="/word/media/rId182.png" ContentType="image/png"/>
  <Override PartName="/word/media/rId170.png" ContentType="image/png"/>
  <Override PartName="/word/media/rId179.png" ContentType="image/png"/>
  <Override PartName="/word/media/rId176.png" ContentType="image/png"/>
  <Override PartName="/word/media/rId185.png" ContentType="image/png"/>
  <Override PartName="/word/media/rId193.png" ContentType="image/png"/>
  <Override PartName="/word/media/rId202.png" ContentType="image/png"/>
  <Override PartName="/word/media/rId190.png" ContentType="image/png"/>
  <Override PartName="/word/media/rId199.png" ContentType="image/png"/>
  <Override PartName="/word/media/rId196.png" ContentType="image/png"/>
  <Override PartName="/word/media/rId205.png" ContentType="image/png"/>
  <Override PartName="/word/media/rId125.png" ContentType="image/png"/>
  <Override PartName="/word/media/rId133.png" ContentType="image/png"/>
  <Override PartName="/word/media/rId90.png" ContentType="image/png"/>
  <Override PartName="/word/media/rId98.png" ContentType="image/png"/>
  <Override PartName="/word/media/rId128.png" ContentType="image/png"/>
  <Override PartName="/word/media/rId136.png" ContentType="image/png"/>
  <Override PartName="/word/media/rId93.png" ContentType="image/png"/>
  <Override PartName="/word/media/rId101.png" ContentType="image/png"/>
  <Override PartName="/word/media/rId65.png" ContentType="image/png"/>
  <Override PartName="/word/media/rId68.png" ContentType="image/png"/>
  <Override PartName="/word/media/rId73.png" ContentType="image/png"/>
  <Override PartName="/word/media/rId77.png" ContentType="image/png"/>
  <Override PartName="/word/media/rId228.png" ContentType="image/png"/>
  <Override PartName="/word/media/rId210.png" ContentType="image/png"/>
  <Override PartName="/word/media/rId143.png" ContentType="image/png"/>
  <Override PartName="/word/media/rId146.png" ContentType="image/png"/>
  <Override PartName="/word/media/rId115.png" ContentType="image/png"/>
  <Override PartName="/word/media/rId121.png" ContentType="image/png"/>
  <Override PartName="/word/media/rId109.png" ContentType="image/png"/>
  <Override PartName="/word/media/rId45.png" ContentType="image/png"/>
  <Override PartName="/word/media/rId53.png" ContentType="image/png"/>
  <Override PartName="/word/media/rId4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Ben-Gurion University of the Negev</w:t>
      </w:r>
    </w:p>
    <w:p>
      <w:pPr>
        <w:pStyle w:val="BodyText"/>
      </w:pPr>
      <w:r>
        <w:t xml:space="preserve">Faculty of Engineering Science</w:t>
      </w:r>
    </w:p>
    <w:p>
      <w:pPr>
        <w:pStyle w:val="BodyText"/>
      </w:pPr>
      <w:r>
        <w:t xml:space="preserve">School of Electrical and Computer Engineering</w:t>
      </w:r>
    </w:p>
    <w:p>
      <w:pPr>
        <w:pStyle w:val="BodyText"/>
      </w:pPr>
      <w:r>
        <w:t xml:space="preserve">Department of Electrical and Computer Engineering</w:t>
      </w:r>
    </w:p>
    <w:p>
      <w:pPr>
        <w:pStyle w:val="BodyText"/>
      </w:pPr>
      <w:r>
        <w:t xml:space="preserve">Fourth Year Engineering Project</w:t>
      </w:r>
    </w:p>
    <w:p>
      <w:pPr>
        <w:pStyle w:val="BodyText"/>
      </w:pPr>
      <w:r>
        <w:t xml:space="preserve">Final Report</w:t>
      </w:r>
    </w:p>
    <w:p>
      <w:pPr>
        <w:pStyle w:val="BodyText"/>
      </w:pPr>
      <w:r>
        <w:rPr>
          <w:b/>
          <w:bCs/>
          <w:u w:val="single"/>
        </w:rPr>
        <w:t xml:space="preserve">Classification of Objects at a Very Low Resolution</w:t>
      </w:r>
    </w:p>
    <w:p>
      <w:pPr>
        <w:pStyle w:val="BodyText"/>
      </w:pPr>
      <w:r>
        <w:rPr>
          <w:b/>
          <w:bCs/>
          <w:u w:val="single"/>
        </w:rPr>
        <w:t xml:space="preserve">Robustness of Deep Visual Models under THz-like Degradation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s-2026-045 / p-2026-061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Bahat Itamar ID: 205805856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Dotan Ann Hanna ID: 211542311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bahit@post.bgu.ac.il, anndo@post.bgu.ac.il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Prof. Yitzhak Yitzhaky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Dr. Rinat Lerner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-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Submitting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/ 07 / 2026</w:t>
            </w:r>
          </w:p>
        </w:tc>
      </w:tr>
    </w:tbl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Terahertz (THz) imaging sensors produce frames that are simultaneously low</w:t>
      </w:r>
      <w:r>
        <w:t xml:space="preserve"> </w:t>
      </w:r>
      <w:r>
        <w:t xml:space="preserve">resolution, low signal-to-noise, and colorless. ImageNet-pretrained</w:t>
      </w:r>
      <w:r>
        <w:t xml:space="preserve"> </w:t>
      </w:r>
      <w:r>
        <w:t xml:space="preserve">classifiers, which rely on fine textures and saturated chroma, lose</w:t>
      </w:r>
      <w:r>
        <w:t xml:space="preserve"> </w:t>
      </w:r>
      <w:r>
        <w:t xml:space="preserve">accuracy quickly under those conditions, but the magnitude and the</w:t>
      </w:r>
      <w:r>
        <w:t xml:space="preserve"> </w:t>
      </w:r>
      <w:r>
        <w:t xml:space="preserve">mechanism of the loss across modern deep-learning architectures are not</w:t>
      </w:r>
      <w:r>
        <w:t xml:space="preserve"> </w:t>
      </w:r>
      <w:r>
        <w:t xml:space="preserve">documented quantitatively.</w:t>
      </w:r>
    </w:p>
    <w:p>
      <w:pPr>
        <w:pStyle w:val="BodyText"/>
      </w:pPr>
      <w:r>
        <w:rPr>
          <w:b/>
          <w:bCs/>
        </w:rPr>
        <w:t xml:space="preserve">Aim.</w:t>
      </w:r>
      <w:r>
        <w:t xml:space="preserve"> </w:t>
      </w:r>
      <w:r>
        <w:t xml:space="preserve">Compare the robustness of three representative deep architectures (a</w:t>
      </w:r>
      <w:r>
        <w:t xml:space="preserve"> </w:t>
      </w:r>
      <w:r>
        <w:t xml:space="preserve">residual CNN, a densely connected CNN, and a foveal vision transformer)</w:t>
      </w:r>
      <w:r>
        <w:t xml:space="preserve"> </w:t>
      </w:r>
      <w:r>
        <w:t xml:space="preserve">under controlled synthetic THz-like degradation, decompose the loss into</w:t>
      </w:r>
      <w:r>
        <w:t xml:space="preserve"> </w:t>
      </w:r>
      <w:r>
        <w:t xml:space="preserve">per-axis contributions, and quantify how much of it can be recovered by</w:t>
      </w:r>
      <w:r>
        <w:t xml:space="preserve"> </w:t>
      </w:r>
      <w:r>
        <w:t xml:space="preserve">training-time regularization.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The 402-cell campaign trains ResNet50, DenseNet121, and TransNeXt-tiny</w:t>
      </w:r>
      <w:r>
        <w:t xml:space="preserve"> </w:t>
      </w:r>
      <w:r>
        <w:t xml:space="preserve">on CIFAR-10 and MNIST under a five-level degradation curve (saturation,</w:t>
      </w:r>
      <w:r>
        <w:t xml:space="preserve"> </w:t>
      </w:r>
      <w:r>
        <w:t xml:space="preserve">downsample, blur, additive noise, salt and pepper). Seven phases isolate</w:t>
      </w:r>
      <w:r>
        <w:t xml:space="preserve"> </w:t>
      </w:r>
      <w:r>
        <w:t xml:space="preserve">the effects: A clean baseline, B1 combined, C single-axis, D</w:t>
      </w:r>
      <w:r>
        <w:t xml:space="preserve"> </w:t>
      </w:r>
      <w:r>
        <w:t xml:space="preserve">regularization recovery, B2 and B2-nr THz-protocol simplification, and</w:t>
      </w:r>
      <w:r>
        <w:t xml:space="preserve"> </w:t>
      </w:r>
      <w:r>
        <w:t xml:space="preserve">C2 single-axis under the THz protocol. A 48-replicate multi-seed audit</w:t>
      </w:r>
      <w:r>
        <w:t xml:space="preserve"> </w:t>
      </w:r>
      <w:r>
        <w:t xml:space="preserve">on the 24 L3 headline cells bounds reproducibility. Every degradation</w:t>
      </w:r>
      <w:r>
        <w:t xml:space="preserve"> </w:t>
      </w:r>
      <w:r>
        <w:t xml:space="preserve">pipeline is anchored to a deterministic 256-image PSNR / SSIM probe so</w:t>
      </w:r>
      <w:r>
        <w:t xml:space="preserve"> </w:t>
      </w:r>
      <w:r>
        <w:t xml:space="preserve">the cross-phase comparison sits on a physical scale.</w:t>
      </w:r>
    </w:p>
    <w:p>
      <w:pPr>
        <w:pStyle w:val="BodyText"/>
      </w:pPr>
      <w:r>
        <w:rPr>
          <w:b/>
          <w:bCs/>
        </w:rPr>
        <w:t xml:space="preserve">Findings.</w:t>
      </w:r>
      <w:r>
        <w:t xml:space="preserve"> </w:t>
      </w:r>
      <w:r>
        <w:t xml:space="preserve">Under Phase B1 on CIFAR-10, TransNeXt-tiny holds the highest accuracy</w:t>
      </w:r>
      <w:r>
        <w:t xml:space="preserve"> </w:t>
      </w:r>
      <w:r>
        <w:t xml:space="preserve">margin over the two CNNs at the mild and moderate end of the curve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10.1</m:t>
        </m:r>
        <m:r>
          <m:t> </m:t>
        </m:r>
      </m:oMath>
      <w:r>
        <w:t xml:space="preserve">percentage points at L1,</w:t>
      </w:r>
      <w:r>
        <w:t xml:space="preserve"> </w:t>
      </w:r>
      <m:oMath>
        <m:r>
          <m:rPr>
            <m:sty m:val="p"/>
          </m:rPr>
          <m:t>+</m:t>
        </m:r>
        <m:r>
          <m:t>10.4</m:t>
        </m:r>
        <m:r>
          <m:t> </m:t>
        </m:r>
      </m:oMath>
      <w:r>
        <w:t xml:space="preserve">percentage points at L2 vs the CNN mean), and the</w:t>
      </w:r>
      <w:r>
        <w:t xml:space="preserve"> </w:t>
      </w:r>
      <w:r>
        <w:t xml:space="preserve">margin narrows to under</w:t>
      </w:r>
      <w:r>
        <w:t xml:space="preserve"> </w:t>
      </w:r>
      <m:oMath>
        <m:r>
          <m:t>1.5</m:t>
        </m:r>
        <m:r>
          <m:t> </m:t>
        </m:r>
      </m:oMath>
      <w:r>
        <w:t xml:space="preserve">percentage points from L3 onward. Resolution</w:t>
      </w:r>
      <w:r>
        <w:t xml:space="preserve"> </w:t>
      </w:r>
      <w:r>
        <w:t xml:space="preserve">dominates the per-axis attribution by a factor of approximately four</w:t>
      </w:r>
      <w:r>
        <w:t xml:space="preserve"> </w:t>
      </w:r>
      <w:r>
        <w:t xml:space="preserve">(mean L1 to L5 effect on CIFAR-10:</w:t>
      </w:r>
      <w:r>
        <w:t xml:space="preserve"> </w:t>
      </w:r>
      <m:oMath>
        <m:r>
          <m:rPr>
            <m:sty m:val="p"/>
          </m:rPr>
          <m:t>−</m:t>
        </m:r>
        <m:r>
          <m:t>27.45</m:t>
        </m:r>
        <m:r>
          <m:t> </m:t>
        </m:r>
      </m:oMath>
      <w:r>
        <w:t xml:space="preserve">percentage points for resolution vs</w:t>
      </w:r>
      <w:r>
        <w:t xml:space="preserve"> </w:t>
      </w:r>
      <m:oMath>
        <m:r>
          <m:rPr>
            <m:sty m:val="p"/>
          </m:rPr>
          <m:t>−</m:t>
        </m:r>
        <m:r>
          <m:t>6.58</m:t>
        </m:r>
      </m:oMath>
      <w:r>
        <w:t xml:space="preserve"> </w:t>
      </w:r>
      <w:r>
        <w:t xml:space="preserve">for blur and</w:t>
      </w:r>
      <w:r>
        <w:t xml:space="preserve"> </w:t>
      </w:r>
      <m:oMath>
        <m:r>
          <m:rPr>
            <m:sty m:val="p"/>
          </m:rPr>
          <m:t>−</m:t>
        </m:r>
        <m:r>
          <m:t>5.13</m:t>
        </m:r>
      </m:oMath>
      <w:r>
        <w:t xml:space="preserve"> </w:t>
      </w:r>
      <w:r>
        <w:t xml:space="preserve">for salt and pepper). Regularization (T3 in</w:t>
      </w:r>
      <w:r>
        <w:t xml:space="preserve"> </w:t>
      </w:r>
      <w:r>
        <w:t xml:space="preserve">Phase D) recovers approximately</w:t>
      </w:r>
      <w:r>
        <w:t xml:space="preserve"> </w:t>
      </w:r>
      <m:oMath>
        <m:r>
          <m:t>0.77</m:t>
        </m:r>
        <m:r>
          <m:t> </m:t>
        </m:r>
      </m:oMath>
      <w:r>
        <w:t xml:space="preserve">percentage points of the</w:t>
      </w:r>
      <w:r>
        <w:t xml:space="preserve"> </w:t>
      </w:r>
      <m:oMath>
        <m:r>
          <m:rPr>
            <m:sty m:val="p"/>
          </m:rPr>
          <m:t>∼</m:t>
        </m:r>
        <m:r>
          <m:t>12.5</m:t>
        </m:r>
        <m:r>
          <m:t> </m:t>
        </m:r>
      </m:oMath>
      <w:r>
        <w:t xml:space="preserve">percentage points</w:t>
      </w:r>
      <w:r>
        <w:t xml:space="preserve"> </w:t>
      </w:r>
      <w:r>
        <w:t xml:space="preserve">Phase B1 accuracy collapse. The multi-seed audit confirms</w:t>
      </w:r>
      <w:r>
        <w:t xml:space="preserve"> </w:t>
      </w:r>
      <m:oMath>
        <m:r>
          <m:t>σ</m:t>
        </m:r>
        <m:r>
          <m:rPr>
            <m:sty m:val="p"/>
          </m:rPr>
          <m:t>&lt;</m:t>
        </m:r>
        <m:r>
          <m:t>1.5</m:t>
        </m:r>
        <m:r>
          <m:t> </m:t>
        </m:r>
      </m:oMath>
      <w:r>
        <w:t xml:space="preserve">percentage points on every L3 headline cell.</w:t>
      </w:r>
    </w:p>
    <w:p>
      <w:pPr>
        <w:pStyle w:val="BodyText"/>
      </w:pPr>
      <w:r>
        <w:rPr>
          <w:b/>
          <w:bCs/>
        </w:rPr>
        <w:t xml:space="preserve">Conclusions.</w:t>
      </w:r>
      <w:r>
        <w:t xml:space="preserve"> </w:t>
      </w:r>
      <w:r>
        <w:t xml:space="preserve">The accuracy collapse is best modeled as an information bottleneck, not</w:t>
      </w:r>
      <w:r>
        <w:t xml:space="preserve"> </w:t>
      </w:r>
      <w:r>
        <w:t xml:space="preserve">as an overfit. The foveal transformer holds the highest robustness</w:t>
      </w:r>
      <w:r>
        <w:t xml:space="preserve"> </w:t>
      </w:r>
      <w:r>
        <w:t xml:space="preserve">margin at mild and moderate degradation; all three architectures</w:t>
      </w:r>
      <w:r>
        <w:t xml:space="preserve"> </w:t>
      </w:r>
      <w:r>
        <w:t xml:space="preserve">converge into the</w:t>
      </w:r>
      <w:r>
        <w:t xml:space="preserve"> </w:t>
      </w:r>
      <m:oMath>
        <m:r>
          <m:rPr>
            <m:sty m:val="p"/>
          </m:rPr>
          <m:t>[</m:t>
        </m:r>
        <m:r>
          <m:t>19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]</m:t>
        </m:r>
        <m:r>
          <m:t> </m:t>
        </m:r>
      </m:oMath>
      <w:r>
        <w:t xml:space="preserve">percentage points band at L5. Future THz deployments</w:t>
      </w:r>
      <w:r>
        <w:t xml:space="preserve"> </w:t>
      </w:r>
      <w:r>
        <w:t xml:space="preserve">should invest in resolution restoration before denoising or deblurring.</w:t>
      </w:r>
    </w:p>
    <w:p>
      <w:pPr>
        <w:pStyle w:val="BodyText"/>
      </w:pPr>
      <w:r>
        <w:rPr>
          <w:b/>
          <w:bCs/>
        </w:rPr>
        <w:t xml:space="preserve">Keywords.</w:t>
      </w:r>
      <w:r>
        <w:t xml:space="preserve"> </w:t>
      </w:r>
      <w:r>
        <w:t xml:space="preserve">object classification, deep learning, low resolution, THz imaging,</w:t>
      </w:r>
      <w:r>
        <w:t xml:space="preserve"> </w:t>
      </w:r>
      <w:r>
        <w:t xml:space="preserve">robustness, PSNR, SSIM, calibration, transformer, residual network,</w:t>
      </w:r>
      <w:r>
        <w:t xml:space="preserve"> </w:t>
      </w:r>
      <w:r>
        <w:t xml:space="preserve">dense network.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lang w:val="he"/>
        </w:rPr>
        <w:t xml:space="preserve">רקע.</w:t>
      </w:r>
      <w:r>
        <w:rPr>
          <w:lang w:val="he"/>
        </w:rPr>
        <w:t xml:space="preserve"> </w:t>
      </w:r>
      <w:r>
        <w:rPr>
          <w:lang w:val="he"/>
        </w:rPr>
        <w:t xml:space="preserve">חיישני הדמיה בתחום הטרה-הרץ (THz) מפיקים תמונות בעלות רזולוציה נמוכה,</w:t>
      </w:r>
      <w:r>
        <w:rPr>
          <w:lang w:val="he"/>
        </w:rPr>
        <w:t xml:space="preserve"> </w:t>
      </w:r>
      <w:r>
        <w:rPr>
          <w:lang w:val="he"/>
        </w:rPr>
        <w:t xml:space="preserve">יחס אות-לרעש נמוך והעדר צבע. מסווגי</w:t>
      </w:r>
      <w:r>
        <w:rPr>
          <w:lang w:val="he"/>
        </w:rPr>
        <w:t xml:space="preserve"> </w:t>
      </w:r>
      <w:r>
        <w:rPr>
          <w:i/>
          <w:iCs/>
          <w:lang w:val="he"/>
        </w:rPr>
        <w:t xml:space="preserve">ImageNet</w:t>
      </w:r>
      <w:r>
        <w:rPr>
          <w:lang w:val="he"/>
        </w:rPr>
        <w:t xml:space="preserve"> </w:t>
      </w:r>
      <w:r>
        <w:rPr>
          <w:lang w:val="he"/>
        </w:rPr>
        <w:t xml:space="preserve">שאומנו מראש,</w:t>
      </w:r>
      <w:r>
        <w:rPr>
          <w:lang w:val="he"/>
        </w:rPr>
        <w:t xml:space="preserve"> </w:t>
      </w:r>
      <w:r>
        <w:rPr>
          <w:lang w:val="he"/>
        </w:rPr>
        <w:t xml:space="preserve">המסתמכים על מרקמים עדינים ועל צבע רווי, מאבדים דיוק במהירות תחת תנאים</w:t>
      </w:r>
      <w:r>
        <w:rPr>
          <w:lang w:val="he"/>
        </w:rPr>
        <w:t xml:space="preserve"> </w:t>
      </w:r>
      <w:r>
        <w:rPr>
          <w:lang w:val="he"/>
        </w:rPr>
        <w:t xml:space="preserve">אלה, אך עוצמת הירידה והמנגנון העומד בבסיסה אינם מתועדים כמותית עבור</w:t>
      </w:r>
      <w:r>
        <w:rPr>
          <w:lang w:val="he"/>
        </w:rPr>
        <w:t xml:space="preserve"> </w:t>
      </w:r>
      <w:r>
        <w:rPr>
          <w:lang w:val="he"/>
        </w:rPr>
        <w:t xml:space="preserve">שלוש משפחות הארכיטקטורות המודרניות.</w:t>
      </w:r>
    </w:p>
    <w:p>
      <w:pPr>
        <w:pStyle w:val="BodyText"/>
      </w:pPr>
      <w:r>
        <w:rPr>
          <w:b/>
          <w:bCs/>
          <w:lang w:val="he"/>
        </w:rPr>
        <w:t xml:space="preserve">מטרה.</w:t>
      </w:r>
      <w:r>
        <w:rPr>
          <w:lang w:val="he"/>
        </w:rPr>
        <w:t xml:space="preserve"> </w:t>
      </w:r>
      <w:r>
        <w:rPr>
          <w:lang w:val="he"/>
        </w:rPr>
        <w:t xml:space="preserve">להשוות את עמידותן של שלוש ארכיטקטורות-עומק מייצגות (רשת CNN שאריתית,</w:t>
      </w:r>
      <w:r>
        <w:rPr>
          <w:lang w:val="he"/>
        </w:rPr>
        <w:t xml:space="preserve"> </w:t>
      </w:r>
      <w:r>
        <w:rPr>
          <w:lang w:val="he"/>
        </w:rPr>
        <w:t xml:space="preserve">רשת CNN צפופה, וטרנספורמר ראייה פוֹביאַלי) תחת השפלה סינתטית מבוקרת</w:t>
      </w:r>
      <w:r>
        <w:rPr>
          <w:lang w:val="he"/>
        </w:rPr>
        <w:t xml:space="preserve"> </w:t>
      </w:r>
      <w:r>
        <w:rPr>
          <w:lang w:val="he"/>
        </w:rPr>
        <w:t xml:space="preserve">דמוית-THz, לפרק את ההפסד לתרומות לפי ציר, ולכמת כמה ממנו ניתן לשחזר על</w:t>
      </w:r>
      <w:r>
        <w:rPr>
          <w:lang w:val="he"/>
        </w:rPr>
        <w:t xml:space="preserve"> </w:t>
      </w:r>
      <w:r>
        <w:rPr>
          <w:lang w:val="he"/>
        </w:rPr>
        <w:t xml:space="preserve">ידי רגולריזציית-אימון.</w:t>
      </w:r>
    </w:p>
    <w:p>
      <w:pPr>
        <w:pStyle w:val="BodyText"/>
      </w:pPr>
      <w:r>
        <w:rPr>
          <w:b/>
          <w:bCs/>
          <w:lang w:val="he"/>
        </w:rPr>
        <w:t xml:space="preserve">שיטות.</w:t>
      </w:r>
      <w:r>
        <w:rPr>
          <w:lang w:val="he"/>
        </w:rPr>
        <w:t xml:space="preserve"> </w:t>
      </w:r>
      <w:r>
        <w:rPr>
          <w:lang w:val="he"/>
        </w:rPr>
        <w:t xml:space="preserve">המערכה כוללת 402 תאי אימון של ResNet50, DenseNet121 ו-TransNeXt-tiny על</w:t>
      </w:r>
      <w:r>
        <w:rPr>
          <w:lang w:val="he"/>
        </w:rPr>
        <w:t xml:space="preserve"> </w:t>
      </w:r>
      <w:r>
        <w:rPr>
          <w:lang w:val="he"/>
        </w:rPr>
        <w:t xml:space="preserve">CIFAR-10 ו-MNIST, תחת עקומת השפלה בת חמש רמות (רוויה, הקטנת רזולוציה,</w:t>
      </w:r>
      <w:r>
        <w:rPr>
          <w:lang w:val="he"/>
        </w:rPr>
        <w:t xml:space="preserve"> </w:t>
      </w:r>
      <w:r>
        <w:rPr>
          <w:lang w:val="he"/>
        </w:rPr>
        <w:t xml:space="preserve">טשטוש, רעש גאוסי, מלח-ופלפל). שבעה שלבים מבודדים את האפקטים: A קו בסיס</w:t>
      </w:r>
      <w:r>
        <w:rPr>
          <w:lang w:val="he"/>
        </w:rPr>
        <w:t xml:space="preserve"> </w:t>
      </w:r>
      <w:r>
        <w:rPr>
          <w:lang w:val="he"/>
        </w:rPr>
        <w:t xml:space="preserve">נקי, B1 השפלה משולבת, C ציר יחיד, D שחזור באמצעות רגולריזציה, B2 ו-B2-nr</w:t>
      </w:r>
      <w:r>
        <w:rPr>
          <w:lang w:val="he"/>
        </w:rPr>
        <w:t xml:space="preserve"> </w:t>
      </w:r>
      <w:r>
        <w:rPr>
          <w:lang w:val="he"/>
        </w:rPr>
        <w:t xml:space="preserve">לפישוט פרוטוקול ה-THz, ו-C2 ציר יחיד תחת אותו פרוטוקול. בדיקת רבייה</w:t>
      </w:r>
      <w:r>
        <w:rPr>
          <w:lang w:val="he"/>
        </w:rPr>
        <w:t xml:space="preserve"> </w:t>
      </w:r>
      <w:r>
        <w:rPr>
          <w:lang w:val="he"/>
        </w:rPr>
        <w:t xml:space="preserve">על 48 חזרות עם זרעי-אקראיות נוספים שולחת חסם על שונות-בין-ריצות בכל אחד</w:t>
      </w:r>
      <w:r>
        <w:rPr>
          <w:lang w:val="he"/>
        </w:rPr>
        <w:t xml:space="preserve"> </w:t>
      </w:r>
      <w:r>
        <w:rPr>
          <w:lang w:val="he"/>
        </w:rPr>
        <w:t xml:space="preserve">מ-24 תאי הכותרת ברמה L3. כל צינור השפלה מעוגן לבדיקת PSNR / SSIM</w:t>
      </w:r>
      <w:r>
        <w:rPr>
          <w:lang w:val="he"/>
        </w:rPr>
        <w:t xml:space="preserve"> </w:t>
      </w:r>
      <w:r>
        <w:rPr>
          <w:lang w:val="he"/>
        </w:rPr>
        <w:t xml:space="preserve">דטרמיניסטית על 256 תמונות, כך שההשוואה בין השלבים מתבצעת על סקאלה</w:t>
      </w:r>
      <w:r>
        <w:rPr>
          <w:lang w:val="he"/>
        </w:rPr>
        <w:t xml:space="preserve"> </w:t>
      </w:r>
      <w:r>
        <w:rPr>
          <w:lang w:val="he"/>
        </w:rPr>
        <w:t xml:space="preserve">פיזיקלית.</w:t>
      </w:r>
    </w:p>
    <w:p>
      <w:pPr>
        <w:pStyle w:val="BodyText"/>
      </w:pPr>
      <w:r>
        <w:rPr>
          <w:b/>
          <w:bCs/>
          <w:lang w:val="he"/>
        </w:rPr>
        <w:t xml:space="preserve">ממצאים.</w:t>
      </w:r>
      <w:r>
        <w:rPr>
          <w:lang w:val="he"/>
        </w:rPr>
        <w:t xml:space="preserve"> </w:t>
      </w:r>
      <w:r>
        <w:rPr>
          <w:lang w:val="he"/>
        </w:rPr>
        <w:t xml:space="preserve">תחת שלב B1 ב-CIFAR-10, TransNeXt-tiny שומר על המרווח הרחב ביותר מעל שתי</w:t>
      </w:r>
      <w:r>
        <w:rPr>
          <w:lang w:val="he"/>
        </w:rPr>
        <w:t xml:space="preserve"> </w:t>
      </w:r>
      <w:r>
        <w:rPr>
          <w:lang w:val="he"/>
        </w:rPr>
        <w:t xml:space="preserve">רשתות ה-CNN בקצה המתון של העקומה (כ-</w:t>
      </w:r>
      <m:oMath>
        <m:r>
          <m:t>10.1</m:t>
        </m:r>
        <m:r>
          <m:t> </m:t>
        </m:r>
      </m:oMath>
      <w:r>
        <w:rPr>
          <w:lang w:val="he"/>
        </w:rPr>
        <w:t xml:space="preserve">percentage points ברמה L1, כ-</w:t>
      </w:r>
      <m:oMath>
        <m:r>
          <m:t>10.4</m:t>
        </m:r>
        <m:r>
          <m:t> </m:t>
        </m:r>
      </m:oMath>
      <w:r>
        <w:rPr>
          <w:lang w:val="he"/>
        </w:rPr>
        <w:t xml:space="preserve">percentage points</w:t>
      </w:r>
      <w:r>
        <w:rPr>
          <w:lang w:val="he"/>
        </w:rPr>
        <w:t xml:space="preserve"> </w:t>
      </w:r>
      <w:r>
        <w:rPr>
          <w:lang w:val="he"/>
        </w:rPr>
        <w:t xml:space="preserve">ברמה L2 מול הממוצע של ה-CNN-ים), ומרווח זה מצטמצם לפחות מ-</w:t>
      </w:r>
      <m:oMath>
        <m:r>
          <m:t>1.5</m:t>
        </m:r>
        <m:r>
          <m:t> </m:t>
        </m:r>
      </m:oMath>
      <w:r>
        <w:rPr>
          <w:lang w:val="he"/>
        </w:rPr>
        <w:t xml:space="preserve">percentage points</w:t>
      </w:r>
      <w:r>
        <w:rPr>
          <w:lang w:val="he"/>
        </w:rPr>
        <w:t xml:space="preserve"> </w:t>
      </w:r>
      <w:r>
        <w:rPr>
          <w:lang w:val="he"/>
        </w:rPr>
        <w:t xml:space="preserve">החל מ-L3. ציר הרזולוציה דומיננטי בייחוס לפי ציר בקירוב פי ארבעה</w:t>
      </w:r>
      <w:r>
        <w:rPr>
          <w:lang w:val="he"/>
        </w:rPr>
        <w:t xml:space="preserve"> </w:t>
      </w:r>
      <w:r>
        <w:rPr>
          <w:lang w:val="he"/>
        </w:rPr>
        <w:t xml:space="preserve">(אפקט ממוצע L1 עד L5 על CIFAR-10:</w:t>
      </w:r>
      <w:r>
        <w:rPr>
          <w:lang w:val="he"/>
        </w:rPr>
        <w:t xml:space="preserve"> </w:t>
      </w:r>
      <m:oMath>
        <m:r>
          <m:rPr>
            <m:sty m:val="p"/>
          </m:rPr>
          <m:t>−</m:t>
        </m:r>
        <m:r>
          <m:t>27.45</m:t>
        </m:r>
        <m:r>
          <m:t> </m:t>
        </m:r>
      </m:oMath>
      <w:r>
        <w:rPr>
          <w:lang w:val="he"/>
        </w:rPr>
        <w:t xml:space="preserve">percentage points עבור רזולוציה לעומת</w:t>
      </w:r>
      <w:r>
        <w:rPr>
          <w:lang w:val="he"/>
        </w:rPr>
        <w:t xml:space="preserve"> </w:t>
      </w:r>
      <m:oMath>
        <m:r>
          <m:rPr>
            <m:sty m:val="p"/>
          </m:rPr>
          <m:t>−</m:t>
        </m:r>
        <m:r>
          <m:t>6.58</m:t>
        </m:r>
      </m:oMath>
      <w:r>
        <w:rPr>
          <w:lang w:val="he"/>
        </w:rPr>
        <w:t xml:space="preserve"> </w:t>
      </w:r>
      <w:r>
        <w:rPr>
          <w:lang w:val="he"/>
        </w:rPr>
        <w:t xml:space="preserve">עבור טשטוש ו-</w:t>
      </w:r>
      <m:oMath>
        <m:r>
          <m:rPr>
            <m:sty m:val="p"/>
          </m:rPr>
          <m:t>−</m:t>
        </m:r>
        <m:r>
          <m:t>5.13</m:t>
        </m:r>
      </m:oMath>
      <w:r>
        <w:rPr>
          <w:lang w:val="he"/>
        </w:rPr>
        <w:t xml:space="preserve"> </w:t>
      </w:r>
      <w:r>
        <w:rPr>
          <w:lang w:val="he"/>
        </w:rPr>
        <w:t xml:space="preserve">עבור מלח-ופלפל). רגולריזציה (T3 בשלב D)</w:t>
      </w:r>
      <w:r>
        <w:rPr>
          <w:lang w:val="he"/>
        </w:rPr>
        <w:t xml:space="preserve"> </w:t>
      </w:r>
      <w:r>
        <w:rPr>
          <w:lang w:val="he"/>
        </w:rPr>
        <w:t xml:space="preserve">משחזרת בקירוב</w:t>
      </w:r>
      <w:r>
        <w:rPr>
          <w:lang w:val="he"/>
        </w:rPr>
        <w:t xml:space="preserve"> </w:t>
      </w:r>
      <m:oMath>
        <m:r>
          <m:t>0.77</m:t>
        </m:r>
        <m:r>
          <m:t> </m:t>
        </m:r>
      </m:oMath>
      <w:r>
        <w:rPr>
          <w:lang w:val="he"/>
        </w:rPr>
        <w:t xml:space="preserve">percentage points מתוך קריסת הדיוק של</w:t>
      </w:r>
      <w:r>
        <w:rPr>
          <w:lang w:val="he"/>
        </w:rPr>
        <w:t xml:space="preserve"> </w:t>
      </w:r>
      <m:oMath>
        <m:r>
          <m:rPr>
            <m:sty m:val="p"/>
          </m:rPr>
          <m:t>∼</m:t>
        </m:r>
        <m:r>
          <m:t>12.5</m:t>
        </m:r>
        <m:r>
          <m:t> </m:t>
        </m:r>
      </m:oMath>
      <w:r>
        <w:rPr>
          <w:lang w:val="he"/>
        </w:rPr>
        <w:t xml:space="preserve">percentage points בשלב</w:t>
      </w:r>
      <w:r>
        <w:rPr>
          <w:lang w:val="he"/>
        </w:rPr>
        <w:t xml:space="preserve"> </w:t>
      </w:r>
      <w:r>
        <w:rPr>
          <w:lang w:val="he"/>
        </w:rPr>
        <w:t xml:space="preserve">B1. בדיקת הרבייה מאשרת</w:t>
      </w:r>
      <w:r>
        <w:rPr>
          <w:lang w:val="he"/>
        </w:rPr>
        <w:t xml:space="preserve"> </w:t>
      </w:r>
      <m:oMath>
        <m:r>
          <m:t>σ</m:t>
        </m:r>
        <m:r>
          <m:rPr>
            <m:sty m:val="p"/>
          </m:rPr>
          <m:t>&lt;</m:t>
        </m:r>
        <m:r>
          <m:t>1.5</m:t>
        </m:r>
        <m:r>
          <m:t> </m:t>
        </m:r>
      </m:oMath>
      <w:r>
        <w:rPr>
          <w:lang w:val="he"/>
        </w:rPr>
        <w:t xml:space="preserve">percentage points בכל תא כותרת ברמה L3.</w:t>
      </w:r>
    </w:p>
    <w:p>
      <w:pPr>
        <w:pStyle w:val="BodyText"/>
      </w:pPr>
      <w:r>
        <w:rPr>
          <w:b/>
          <w:bCs/>
          <w:lang w:val="he"/>
        </w:rPr>
        <w:t xml:space="preserve">מסקנות.</w:t>
      </w:r>
      <w:r>
        <w:rPr>
          <w:lang w:val="he"/>
        </w:rPr>
        <w:t xml:space="preserve"> </w:t>
      </w:r>
      <w:r>
        <w:rPr>
          <w:lang w:val="he"/>
        </w:rPr>
        <w:t xml:space="preserve">קריסת הדיוק מתוארת היטב כצוואר-בקבוק של מידע ולא כהתאמת-יתר. הטרנספורמר</w:t>
      </w:r>
      <w:r>
        <w:rPr>
          <w:lang w:val="he"/>
        </w:rPr>
        <w:t xml:space="preserve"> </w:t>
      </w:r>
      <w:r>
        <w:rPr>
          <w:lang w:val="he"/>
        </w:rPr>
        <w:t xml:space="preserve">הפוֹביאַלי שומר על מרווח העמידות הגבוה ביותר בקצה המתון של עקומת ההשפלה;</w:t>
      </w:r>
      <w:r>
        <w:rPr>
          <w:lang w:val="he"/>
        </w:rPr>
        <w:t xml:space="preserve"> </w:t>
      </w:r>
      <w:r>
        <w:rPr>
          <w:lang w:val="he"/>
        </w:rPr>
        <w:t xml:space="preserve">שלוש הארכיטקטורות מתכנסות לרצועת</w:t>
      </w:r>
      <w:r>
        <w:rPr>
          <w:lang w:val="he"/>
        </w:rPr>
        <w:t xml:space="preserve"> </w:t>
      </w:r>
      <m:oMath>
        <m:r>
          <m:rPr>
            <m:sty m:val="p"/>
          </m:rPr>
          <m:t>[</m:t>
        </m:r>
        <m:r>
          <m:t>19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]</m:t>
        </m:r>
        <m:r>
          <m:t> </m:t>
        </m:r>
      </m:oMath>
      <w:r>
        <w:rPr>
          <w:lang w:val="he"/>
        </w:rPr>
        <w:t xml:space="preserve">percentage points ברמה L5. פריסות THz</w:t>
      </w:r>
      <w:r>
        <w:rPr>
          <w:lang w:val="he"/>
        </w:rPr>
        <w:t xml:space="preserve"> </w:t>
      </w:r>
      <w:r>
        <w:rPr>
          <w:lang w:val="he"/>
        </w:rPr>
        <w:t xml:space="preserve">עתידיות צריכות להשקיע בשחזור רזולוציה לפני שלבי הסרת רעש או הסרת טשטוש.</w:t>
      </w:r>
    </w:p>
    <w:p>
      <w:pPr>
        <w:pStyle w:val="BodyText"/>
      </w:pPr>
      <w:r>
        <w:rPr>
          <w:b/>
          <w:bCs/>
          <w:lang w:val="he"/>
        </w:rPr>
        <w:t xml:space="preserve">מילות מפתח.</w:t>
      </w:r>
      <w:r>
        <w:rPr>
          <w:lang w:val="he"/>
        </w:rPr>
        <w:t xml:space="preserve"> </w:t>
      </w:r>
      <w:r>
        <w:rPr>
          <w:lang w:val="he"/>
        </w:rPr>
        <w:t xml:space="preserve">סיווג עצמים, למידה עמוקה, רזולוציה נמוכה, הדמיית THz, עמידות, PSNR, SSIM,</w:t>
      </w:r>
      <w:r>
        <w:rPr>
          <w:lang w:val="he"/>
        </w:rPr>
        <w:t xml:space="preserve"> </w:t>
      </w:r>
      <w:r>
        <w:rPr>
          <w:lang w:val="he"/>
        </w:rPr>
        <w:t xml:space="preserve">כיול, טרנספורמר, רשת שאריתית, רשת צפופה.</w:t>
      </w:r>
    </w:p>
    <w:p>
      <w:pPr>
        <w:pStyle w:val="BodyText"/>
      </w:pPr>
      <w:r>
        <w:rPr>
          <w:b/>
          <w:bCs/>
        </w:rPr>
        <w:t xml:space="preserve">רקע.</w:t>
      </w:r>
      <w:r>
        <w:t xml:space="preserve"> </w:t>
      </w:r>
      <w:r>
        <w:t xml:space="preserve">חיישני הדמיה בתחום הטרה-הרץ (THz) מפיקים תמונות בעלות רזולוציה נמוכה,</w:t>
      </w:r>
      <w:r>
        <w:t xml:space="preserve"> </w:t>
      </w:r>
      <w:r>
        <w:t xml:space="preserve">יחס אות-לרעש נמוך והעדר צבע. מסווגי</w:t>
      </w:r>
      <w:r>
        <w:t xml:space="preserve"> </w:t>
      </w:r>
      <w:r>
        <w:rPr>
          <w:i/>
          <w:iCs/>
        </w:rPr>
        <w:t xml:space="preserve">ImageNet</w:t>
      </w:r>
      <w:r>
        <w:t xml:space="preserve"> </w:t>
      </w:r>
      <w:r>
        <w:t xml:space="preserve">שאומנו מראש,</w:t>
      </w:r>
      <w:r>
        <w:t xml:space="preserve"> </w:t>
      </w:r>
      <w:r>
        <w:t xml:space="preserve">המסתמכים על מרקמים עדינים ועל צבע רווי, מאבדים דיוק במהירות תחת תנאים</w:t>
      </w:r>
      <w:r>
        <w:t xml:space="preserve"> </w:t>
      </w:r>
      <w:r>
        <w:t xml:space="preserve">אלה, אך עוצמת הירידה והמנגנון העומד בבסיסה אינם מתועדים כמותית עבור</w:t>
      </w:r>
      <w:r>
        <w:t xml:space="preserve"> </w:t>
      </w:r>
      <w:r>
        <w:t xml:space="preserve">שלוש משפחות הארכיטקטורות המודרניות.</w:t>
      </w:r>
    </w:p>
    <w:p>
      <w:pPr>
        <w:pStyle w:val="BodyText"/>
      </w:pPr>
      <w:r>
        <w:rPr>
          <w:b/>
          <w:bCs/>
        </w:rPr>
        <w:t xml:space="preserve">מטרה.</w:t>
      </w:r>
      <w:r>
        <w:t xml:space="preserve"> </w:t>
      </w:r>
      <w:r>
        <w:t xml:space="preserve">להשוות את עמידותן של שלוש ארכיטקטורות-עומק מייצגות (רשת CNN שאריתית,</w:t>
      </w:r>
      <w:r>
        <w:t xml:space="preserve"> </w:t>
      </w:r>
      <w:r>
        <w:t xml:space="preserve">רשת CNN צפופה, וטרנספורמר ראייה פוֹביאַלי) תחת השפלה סינתטית מבוקרת</w:t>
      </w:r>
      <w:r>
        <w:t xml:space="preserve"> </w:t>
      </w:r>
      <w:r>
        <w:t xml:space="preserve">דמוית-THz, לפרק את ההפסד לתרומות לפי ציר, ולכמת כמה ממנו ניתן לשחזר על</w:t>
      </w:r>
      <w:r>
        <w:t xml:space="preserve"> </w:t>
      </w:r>
      <w:r>
        <w:t xml:space="preserve">ידי רגולריזציית-אימון.</w:t>
      </w:r>
    </w:p>
    <w:p>
      <w:pPr>
        <w:pStyle w:val="BodyText"/>
      </w:pPr>
      <w:r>
        <w:rPr>
          <w:b/>
          <w:bCs/>
        </w:rPr>
        <w:t xml:space="preserve">שיטות.</w:t>
      </w:r>
      <w:r>
        <w:t xml:space="preserve"> </w:t>
      </w:r>
      <w:r>
        <w:t xml:space="preserve">המערכה כוללת 402 תאי אימון של ResNet50, DenseNet121 ו-TransNeXt-tiny על</w:t>
      </w:r>
      <w:r>
        <w:t xml:space="preserve"> </w:t>
      </w:r>
      <w:r>
        <w:t xml:space="preserve">CIFAR-10 ו-MNIST, תחת עקומת השפלה בת חמש רמות (רוויה, הקטנת רזולוציה,</w:t>
      </w:r>
      <w:r>
        <w:t xml:space="preserve"> </w:t>
      </w:r>
      <w:r>
        <w:t xml:space="preserve">טשטוש, רעש גאוסי, מלח-ופלפל). שבעה שלבים מבודדים את האפקטים: A קו בסיס</w:t>
      </w:r>
      <w:r>
        <w:t xml:space="preserve"> </w:t>
      </w:r>
      <w:r>
        <w:t xml:space="preserve">נקי, B1 השפלה משולבת, C ציר יחיד, D שחזור באמצעות רגולריזציה, B2 ו-B2-nr</w:t>
      </w:r>
      <w:r>
        <w:t xml:space="preserve"> </w:t>
      </w:r>
      <w:r>
        <w:t xml:space="preserve">לפישוט פרוטוקול ה-THz, ו-C2 ציר יחיד תחת אותו פרוטוקול. בדיקת רבייה</w:t>
      </w:r>
      <w:r>
        <w:t xml:space="preserve"> </w:t>
      </w:r>
      <w:r>
        <w:t xml:space="preserve">על 48 חזרות עם זרעי-אקראיות נוספים שולחת חסם על שונות-בין-ריצות בכל אחד</w:t>
      </w:r>
      <w:r>
        <w:t xml:space="preserve"> </w:t>
      </w:r>
      <w:r>
        <w:t xml:space="preserve">מ-24 תאי הכותרת ברמה L3. כל צינור השפלה מעוגן לבדיקת PSNR / SSIM</w:t>
      </w:r>
      <w:r>
        <w:t xml:space="preserve"> </w:t>
      </w:r>
      <w:r>
        <w:t xml:space="preserve">דטרמיניסטית על 256 תמונות, כך שההשוואה בין השלבים מתבצעת על סקאלה</w:t>
      </w:r>
      <w:r>
        <w:t xml:space="preserve"> </w:t>
      </w:r>
      <w:r>
        <w:t xml:space="preserve">פיזיקלית.</w:t>
      </w:r>
    </w:p>
    <w:p>
      <w:pPr>
        <w:pStyle w:val="BodyText"/>
      </w:pPr>
      <w:r>
        <w:rPr>
          <w:b/>
          <w:bCs/>
        </w:rPr>
        <w:t xml:space="preserve">ממצאים.</w:t>
      </w:r>
      <w:r>
        <w:t xml:space="preserve"> </w:t>
      </w:r>
      <w:r>
        <w:t xml:space="preserve">תחת שלב B1 ב-CIFAR-10, TransNeXt-tiny שומר על המרווח הרחב ביותר מעל שתי</w:t>
      </w:r>
      <w:r>
        <w:t xml:space="preserve"> </w:t>
      </w:r>
      <w:r>
        <w:t xml:space="preserve">רשתות ה-CNN בקצה המתון של העקומה (כ-</w:t>
      </w:r>
      <m:oMath>
        <m:r>
          <m:t>10.1</m:t>
        </m:r>
        <m:r>
          <m:t> </m:t>
        </m:r>
      </m:oMath>
      <w:r>
        <w:t xml:space="preserve">percentage points ברמה L1, כ-</w:t>
      </w:r>
      <m:oMath>
        <m:r>
          <m:t>10.4</m:t>
        </m:r>
        <m:r>
          <m:t> </m:t>
        </m:r>
      </m:oMath>
      <w:r>
        <w:t xml:space="preserve">percentage points</w:t>
      </w:r>
      <w:r>
        <w:t xml:space="preserve"> </w:t>
      </w:r>
      <w:r>
        <w:t xml:space="preserve">ברמה L2 מול הממוצע של ה-CNN-ים), ומרווח זה מצטמצם לפחות מ-</w:t>
      </w:r>
      <m:oMath>
        <m:r>
          <m:t>1.5</m:t>
        </m:r>
        <m:r>
          <m:t> </m:t>
        </m:r>
      </m:oMath>
      <w:r>
        <w:t xml:space="preserve">percentage points</w:t>
      </w:r>
      <w:r>
        <w:t xml:space="preserve"> </w:t>
      </w:r>
      <w:r>
        <w:t xml:space="preserve">החל מ-L3. ציר הרזולוציה דומיננטי בייחוס לפי ציר בקירוב פי ארבעה</w:t>
      </w:r>
      <w:r>
        <w:t xml:space="preserve"> </w:t>
      </w:r>
      <w:r>
        <w:t xml:space="preserve">(אפקט ממוצע L1 עד L5 על CIFAR-10:</w:t>
      </w:r>
      <w:r>
        <w:t xml:space="preserve"> </w:t>
      </w:r>
      <m:oMath>
        <m:r>
          <m:rPr>
            <m:sty m:val="p"/>
          </m:rPr>
          <m:t>−</m:t>
        </m:r>
        <m:r>
          <m:t>27.45</m:t>
        </m:r>
        <m:r>
          <m:t> </m:t>
        </m:r>
      </m:oMath>
      <w:r>
        <w:t xml:space="preserve">percentage points עבור רזולוציה לעומת</w:t>
      </w:r>
      <w:r>
        <w:t xml:space="preserve"> </w:t>
      </w:r>
      <m:oMath>
        <m:r>
          <m:rPr>
            <m:sty m:val="p"/>
          </m:rPr>
          <m:t>−</m:t>
        </m:r>
        <m:r>
          <m:t>6.58</m:t>
        </m:r>
      </m:oMath>
      <w:r>
        <w:t xml:space="preserve"> </w:t>
      </w:r>
      <w:r>
        <w:t xml:space="preserve">עבור טשטוש ו-</w:t>
      </w:r>
      <m:oMath>
        <m:r>
          <m:rPr>
            <m:sty m:val="p"/>
          </m:rPr>
          <m:t>−</m:t>
        </m:r>
        <m:r>
          <m:t>5.13</m:t>
        </m:r>
      </m:oMath>
      <w:r>
        <w:t xml:space="preserve"> </w:t>
      </w:r>
      <w:r>
        <w:t xml:space="preserve">עבור מלח-ופלפל). רגולריזציה (T3 בשלב D)</w:t>
      </w:r>
      <w:r>
        <w:t xml:space="preserve"> </w:t>
      </w:r>
      <w:r>
        <w:t xml:space="preserve">משחזרת בקירוב</w:t>
      </w:r>
      <w:r>
        <w:t xml:space="preserve"> </w:t>
      </w:r>
      <m:oMath>
        <m:r>
          <m:t>0.77</m:t>
        </m:r>
        <m:r>
          <m:t> </m:t>
        </m:r>
      </m:oMath>
      <w:r>
        <w:t xml:space="preserve">percentage points מתוך קריסת הדיוק של</w:t>
      </w:r>
      <w:r>
        <w:t xml:space="preserve"> </w:t>
      </w:r>
      <m:oMath>
        <m:r>
          <m:rPr>
            <m:sty m:val="p"/>
          </m:rPr>
          <m:t>∼</m:t>
        </m:r>
        <m:r>
          <m:t>12.5</m:t>
        </m:r>
        <m:r>
          <m:t> </m:t>
        </m:r>
      </m:oMath>
      <w:r>
        <w:t xml:space="preserve">percentage points בשלב</w:t>
      </w:r>
      <w:r>
        <w:t xml:space="preserve"> </w:t>
      </w:r>
      <w:r>
        <w:t xml:space="preserve">B1. בדיקת הרבייה מאשרת</w:t>
      </w:r>
      <w:r>
        <w:t xml:space="preserve"> </w:t>
      </w:r>
      <m:oMath>
        <m:r>
          <m:t>σ</m:t>
        </m:r>
        <m:r>
          <m:rPr>
            <m:sty m:val="p"/>
          </m:rPr>
          <m:t>&lt;</m:t>
        </m:r>
        <m:r>
          <m:t>1.5</m:t>
        </m:r>
        <m:r>
          <m:t> </m:t>
        </m:r>
      </m:oMath>
      <w:r>
        <w:t xml:space="preserve">percentage points בכל תא כותרת ברמה L3.</w:t>
      </w:r>
    </w:p>
    <w:p>
      <w:pPr>
        <w:pStyle w:val="BodyText"/>
      </w:pPr>
      <w:r>
        <w:rPr>
          <w:b/>
          <w:bCs/>
        </w:rPr>
        <w:t xml:space="preserve">מסקנות.</w:t>
      </w:r>
      <w:r>
        <w:t xml:space="preserve"> </w:t>
      </w:r>
      <w:r>
        <w:t xml:space="preserve">קריסת הדיוק מתוארת היטב כצוואר-בקבוק של מידע ולא כהתאמת-יתר. הטרנספורמר</w:t>
      </w:r>
      <w:r>
        <w:t xml:space="preserve"> </w:t>
      </w:r>
      <w:r>
        <w:t xml:space="preserve">הפוֹביאַלי שומר על מרווח העמידות הגבוה ביותר בקצה המתון של עקומת ההשפלה;</w:t>
      </w:r>
      <w:r>
        <w:t xml:space="preserve"> </w:t>
      </w:r>
      <w:r>
        <w:t xml:space="preserve">שלוש הארכיטקטורות מתכנסות לרצועת</w:t>
      </w:r>
      <w:r>
        <w:t xml:space="preserve"> </w:t>
      </w:r>
      <m:oMath>
        <m:r>
          <m:rPr>
            <m:sty m:val="p"/>
          </m:rPr>
          <m:t>[</m:t>
        </m:r>
        <m:r>
          <m:t>19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]</m:t>
        </m:r>
        <m:r>
          <m:t> </m:t>
        </m:r>
      </m:oMath>
      <w:r>
        <w:t xml:space="preserve">percentage points ברמה L5. פריסות THz</w:t>
      </w:r>
      <w:r>
        <w:t xml:space="preserve"> </w:t>
      </w:r>
      <w:r>
        <w:t xml:space="preserve">עתידיות צריכות להשקיע בשחזור רזולוציה לפני שלבי הסרת רעש או הסרת טשטוש.</w:t>
      </w:r>
    </w:p>
    <w:p>
      <w:pPr>
        <w:pStyle w:val="BodyText"/>
      </w:pPr>
      <w:r>
        <w:rPr>
          <w:b/>
          <w:bCs/>
        </w:rPr>
        <w:t xml:space="preserve">מילות מפתח.</w:t>
      </w:r>
      <w:r>
        <w:t xml:space="preserve"> </w:t>
      </w:r>
      <w:r>
        <w:t xml:space="preserve">סיווג עצמים, למידה עמוקה, רזולוציה נמוכה, הדמיית THz, עמידות, PSNR, SSIM,</w:t>
      </w:r>
      <w:r>
        <w:t xml:space="preserve"> </w:t>
      </w:r>
      <w:r>
        <w:t xml:space="preserve">כיול, טרנספורמר, רשת שאריתית, רשת צפופה.</w:t>
      </w:r>
    </w:p>
    <w:bookmarkEnd w:id="9"/>
    <w:bookmarkStart w:id="15" w:name="sec:intr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bookmarkStart w:id="10" w:name="motivat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Motivation</w:t>
      </w:r>
    </w:p>
    <w:p>
      <w:pPr>
        <w:pStyle w:val="FirstParagraph"/>
      </w:pPr>
      <w:r>
        <w:t xml:space="preserve">Terahertz (THz) imaging is increasingly used in security screening, biomedical</w:t>
      </w:r>
      <w:r>
        <w:t xml:space="preserve"> </w:t>
      </w:r>
      <w:r>
        <w:t xml:space="preserve">diagnostics, and through-fabric inspection because the millimeter-wave band</w:t>
      </w:r>
      <w:r>
        <w:t xml:space="preserve"> </w:t>
      </w:r>
      <w:r>
        <w:t xml:space="preserve">penetrates clothing, paper, plastics, and other low-permittivity materials</w:t>
      </w:r>
      <w:r>
        <w:t xml:space="preserve"> </w:t>
      </w:r>
      <w:r>
        <w:t xml:space="preserve">that block visible light. The physics of the band exacts a price: diffraction</w:t>
      </w:r>
      <w:r>
        <w:t xml:space="preserve"> </w:t>
      </w:r>
      <w:r>
        <w:t xml:space="preserve">caps the achievable spatial resolution near the wavelength of the source,</w:t>
      </w:r>
      <w:r>
        <w:t xml:space="preserve"> </w:t>
      </w:r>
      <w:r>
        <w:t xml:space="preserve">single-pixel detectors integrate the field over a comparatively large area,</w:t>
      </w:r>
      <w:r>
        <w:t xml:space="preserve"> </w:t>
      </w:r>
      <w:r>
        <w:t xml:space="preserve">and the available noise figure is dominated by thermal background. The output</w:t>
      </w:r>
      <w:r>
        <w:t xml:space="preserve"> </w:t>
      </w:r>
      <w:r>
        <w:t xml:space="preserve">is an image that is simultaneously low resolution, low signal-to-noise, and</w:t>
      </w:r>
      <w:r>
        <w:t xml:space="preserve"> </w:t>
      </w:r>
      <w:r>
        <w:t xml:space="preserve">free of color information.</w:t>
      </w:r>
    </w:p>
    <w:p>
      <w:pPr>
        <w:pStyle w:val="BodyText"/>
      </w:pPr>
      <w:r>
        <w:t xml:space="preserve">Standard deep-vision classifiers, almost all of which inherit ImageNet</w:t>
      </w:r>
      <w:r>
        <w:t xml:space="preserve"> </w:t>
      </w:r>
      <w:r>
        <w:t xml:space="preserve">pretraining, are tuned for the opposite distribution. They depend on fine</w:t>
      </w:r>
      <w:r>
        <w:t xml:space="preserve"> </w:t>
      </w:r>
      <w:r>
        <w:t xml:space="preserve">textures, sharp edges, and saturated chroma to populate the receptive fields</w:t>
      </w:r>
      <w:r>
        <w:t xml:space="preserve"> </w:t>
      </w:r>
      <w:r>
        <w:t xml:space="preserve">of the early convolutional layers. When those signals are removed the accuracy</w:t>
      </w:r>
      <w:r>
        <w:t xml:space="preserve"> </w:t>
      </w:r>
      <w:r>
        <w:t xml:space="preserve">of an off-the-shelf model collapses, and the failure mode is opaque: it is</w:t>
      </w:r>
      <w:r>
        <w:t xml:space="preserve"> </w:t>
      </w:r>
      <w:r>
        <w:t xml:space="preserve">not obvious how much of the loss is caused by reduced resolution alone, how</w:t>
      </w:r>
      <w:r>
        <w:t xml:space="preserve"> </w:t>
      </w:r>
      <w:r>
        <w:t xml:space="preserve">much by additive noise, and how much by the loss of color, nor whether</w:t>
      </w:r>
      <w:r>
        <w:t xml:space="preserve"> </w:t>
      </w:r>
      <w:r>
        <w:t xml:space="preserve">training-time interventions (regularization, augmentation, architectural</w:t>
      </w:r>
      <w:r>
        <w:t xml:space="preserve"> </w:t>
      </w:r>
      <w:r>
        <w:t xml:space="preserve">substitution) can recover any of the lost performance.</w:t>
      </w:r>
    </w:p>
    <w:bookmarkEnd w:id="10"/>
    <w:bookmarkStart w:id="11" w:name="problem-statement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Problem statement</w:t>
      </w:r>
    </w:p>
    <w:p>
      <w:pPr>
        <w:pStyle w:val="FirstParagraph"/>
      </w:pPr>
      <w:r>
        <w:t xml:space="preserve">This project quantifies the accuracy degradation of three representative deep</w:t>
      </w:r>
      <w:r>
        <w:t xml:space="preserve"> </w:t>
      </w:r>
      <w:r>
        <w:t xml:space="preserve">architectures under a controlled synthetic THz-like degradation, decomposes</w:t>
      </w:r>
      <w:r>
        <w:t xml:space="preserve"> </w:t>
      </w:r>
      <w:r>
        <w:t xml:space="preserve">the loss into per-axis contributions, audits the reproducibility of the</w:t>
      </w:r>
      <w:r>
        <w:t xml:space="preserve"> </w:t>
      </w:r>
      <w:r>
        <w:t xml:space="preserve">measurements across random seeds, and documents which training-side</w:t>
      </w:r>
      <w:r>
        <w:t xml:space="preserve"> </w:t>
      </w:r>
      <w:r>
        <w:t xml:space="preserve">interventions recover lost accuracy. The architectures span the three families</w:t>
      </w:r>
      <w:r>
        <w:t xml:space="preserve"> </w:t>
      </w:r>
      <w:r>
        <w:t xml:space="preserve">that currently anchor the image-classification literature: a residual</w:t>
      </w:r>
      <w:r>
        <w:t xml:space="preserve"> </w:t>
      </w:r>
      <w:r>
        <w:t xml:space="preserve">convolutional network (ResNet50</w:t>
      </w:r>
      <w:r>
        <w:t xml:space="preserve"> </w:t>
      </w:r>
      <w:r>
        <w:t xml:space="preserve">(He et al. 2016)</w:t>
      </w:r>
      <w:r>
        <w:t xml:space="preserve">), a densely connected</w:t>
      </w:r>
      <w:r>
        <w:t xml:space="preserve"> </w:t>
      </w:r>
      <w:r>
        <w:t xml:space="preserve">convolutional network with explicit feature reuse (DenseNet121</w:t>
      </w:r>
      <w:r>
        <w:t xml:space="preserve"> </w:t>
      </w:r>
      <w:r>
        <w:t xml:space="preserve">(Huang et al. 2017)</w:t>
      </w:r>
      <w:r>
        <w:t xml:space="preserve">), and a vision transformer with foveal attention</w:t>
      </w:r>
      <w:r>
        <w:t xml:space="preserve"> </w:t>
      </w:r>
      <w:r>
        <w:t xml:space="preserve">(TransNeXt-tiny</w:t>
      </w:r>
      <w:r>
        <w:t xml:space="preserve"> </w:t>
      </w:r>
      <w:r>
        <w:t xml:space="preserve">(Shi 2024)</w:t>
      </w:r>
      <w:r>
        <w:t xml:space="preserve">).</w:t>
      </w:r>
    </w:p>
    <w:p>
      <w:pPr>
        <w:pStyle w:val="BodyText"/>
      </w:pPr>
      <w:r>
        <w:t xml:space="preserve">The success criteria taken from the preliminary report are: at least 80</w:t>
      </w:r>
      <w:r>
        <w:t xml:space="preserve"> </w:t>
      </w:r>
      <w:r>
        <w:t xml:space="preserve">percent top-1 accuracy on the moderate-degradation operating point, an</w:t>
      </w:r>
      <w:r>
        <w:t xml:space="preserve"> </w:t>
      </w:r>
      <w:r>
        <w:t xml:space="preserve">identifiable architectural winner that beats the baseline by a statistically</w:t>
      </w:r>
      <w:r>
        <w:t xml:space="preserve"> </w:t>
      </w:r>
      <w:r>
        <w:t xml:space="preserve">meaningful margin, and inference latency compatible with sensor-side</w:t>
      </w:r>
      <w:r>
        <w:t xml:space="preserve"> </w:t>
      </w:r>
      <w:r>
        <w:t xml:space="preserve">deployment. Those targets are revisited in Section</w:t>
      </w:r>
      <w:r>
        <w:t xml:space="preserve"> </w:t>
      </w:r>
      <w:hyperlink w:anchor="sec:conclusion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against the actual measurements.</w:t>
      </w:r>
    </w:p>
    <w:bookmarkEnd w:id="11"/>
    <w:bookmarkStart w:id="12" w:name="alternative-approaches-considered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Alternative approaches considered</w:t>
      </w:r>
    </w:p>
    <w:p>
      <w:pPr>
        <w:pStyle w:val="FirstParagraph"/>
      </w:pPr>
      <w:r>
        <w:t xml:space="preserve">Three alternative families were reviewed during the preliminary design and</w:t>
      </w:r>
      <w:r>
        <w:t xml:space="preserve"> </w:t>
      </w:r>
      <w:r>
        <w:t xml:space="preserve">rejected in favor of synthetic-degradation training.</w:t>
      </w:r>
    </w:p>
    <w:p>
      <w:pPr>
        <w:pStyle w:val="BodyText"/>
      </w:pPr>
      <w:r>
        <w:rPr>
          <w:b/>
          <w:bCs/>
        </w:rPr>
        <w:t xml:space="preserve">(i) Denoise then classify.</w:t>
      </w:r>
      <w:r>
        <w:t xml:space="preserve"> </w:t>
      </w:r>
      <w:r>
        <w:t xml:space="preserve">A pipeline that restores the image before invoking a clean-image classifier.</w:t>
      </w:r>
      <w:r>
        <w:t xml:space="preserve"> </w:t>
      </w:r>
      <w:r>
        <w:t xml:space="preserve">The approach decouples the two problems and reuses an existing pretrained</w:t>
      </w:r>
      <w:r>
        <w:t xml:space="preserve"> </w:t>
      </w:r>
      <w:r>
        <w:t xml:space="preserve">classifier verbatim, but it requires a high-quality reference image at train</w:t>
      </w:r>
      <w:r>
        <w:t xml:space="preserve"> </w:t>
      </w:r>
      <w:r>
        <w:t xml:space="preserve">time, which a real THz sensor never produces. Restoration networks trained on</w:t>
      </w:r>
      <w:r>
        <w:t xml:space="preserve"> </w:t>
      </w:r>
      <w:r>
        <w:t xml:space="preserve">mismatched degradation distributions tend to hallucinate detail</w:t>
      </w:r>
      <w:r>
        <w:t xml:space="preserve"> </w:t>
      </w:r>
      <w:r>
        <w:t xml:space="preserve">(Huynh-Thu and Ghanbari 2008; Wang et al. 2004)</w:t>
      </w:r>
      <w:r>
        <w:t xml:space="preserve">, which inflates PSNR / SSIM scores without</w:t>
      </w:r>
      <w:r>
        <w:t xml:space="preserve"> </w:t>
      </w:r>
      <w:r>
        <w:t xml:space="preserve">improving downstream classification.</w:t>
      </w:r>
    </w:p>
    <w:p>
      <w:pPr>
        <w:pStyle w:val="BodyText"/>
      </w:pPr>
      <w:r>
        <w:rPr>
          <w:b/>
          <w:bCs/>
        </w:rPr>
        <w:t xml:space="preserve">(ii) Super-resolution then classify.</w:t>
      </w:r>
      <w:r>
        <w:t xml:space="preserve"> </w:t>
      </w:r>
      <w:r>
        <w:t xml:space="preserve">A specialization of (i) that targets the resolution axis only. It assumes</w:t>
      </w:r>
      <w:r>
        <w:t xml:space="preserve"> </w:t>
      </w:r>
      <w:r>
        <w:t xml:space="preserve">that the dominant failure mode is spatial sampling. As Section</w:t>
      </w:r>
      <w:r>
        <w:t xml:space="preserve"> </w:t>
      </w:r>
      <w:hyperlink w:anchor="sec:tes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will show, resolution does dominate the per-axis attribution,</w:t>
      </w:r>
      <w:r>
        <w:t xml:space="preserve"> </w:t>
      </w:r>
      <w:r>
        <w:t xml:space="preserve">but additive noise and blur still cost between five and seven percentage points each at</w:t>
      </w:r>
      <w:r>
        <w:t xml:space="preserve"> </w:t>
      </w:r>
      <w:r>
        <w:t xml:space="preserve">the moderate operating point, so a resolution-only restoration cannot recover</w:t>
      </w:r>
      <w:r>
        <w:t xml:space="preserve"> </w:t>
      </w:r>
      <w:r>
        <w:t xml:space="preserve">the full loss.</w:t>
      </w:r>
    </w:p>
    <w:p>
      <w:pPr>
        <w:pStyle w:val="BodyText"/>
      </w:pPr>
      <w:r>
        <w:rPr>
          <w:b/>
          <w:bCs/>
        </w:rPr>
        <w:t xml:space="preserve">(iii) Train-time degradation exposure.</w:t>
      </w:r>
      <w:r>
        <w:t xml:space="preserve"> </w:t>
      </w:r>
      <w:r>
        <w:t xml:space="preserve">The model is trained directly on synthetically degraded images so that the</w:t>
      </w:r>
      <w:r>
        <w:t xml:space="preserve"> </w:t>
      </w:r>
      <w:r>
        <w:t xml:space="preserve">representation adapts to the degraded distribution. This is the approach used</w:t>
      </w:r>
      <w:r>
        <w:t xml:space="preserve"> </w:t>
      </w:r>
      <w:r>
        <w:t xml:space="preserve">in modern robustness benchmarks</w:t>
      </w:r>
      <w:r>
        <w:t xml:space="preserve"> </w:t>
      </w:r>
      <w:r>
        <w:t xml:space="preserve">(Hendrycks et al. 2021)</w:t>
      </w:r>
      <w:r>
        <w:t xml:space="preserve"> </w:t>
      </w:r>
      <w:r>
        <w:t xml:space="preserve">and the one</w:t>
      </w:r>
      <w:r>
        <w:t xml:space="preserve"> </w:t>
      </w:r>
      <w:r>
        <w:t xml:space="preserve">adopted here. It is sample-efficient (no separate restoration network), it</w:t>
      </w:r>
      <w:r>
        <w:t xml:space="preserve"> </w:t>
      </w:r>
      <w:r>
        <w:t xml:space="preserve">keeps the test-time pipeline minimal (single forward pass), and it surfaces</w:t>
      </w:r>
      <w:r>
        <w:t xml:space="preserve"> </w:t>
      </w:r>
      <w:r>
        <w:t xml:space="preserve">the architectural sensitivities directly because every backbone sees the</w:t>
      </w:r>
      <w:r>
        <w:t xml:space="preserve"> </w:t>
      </w:r>
      <w:r>
        <w:t xml:space="preserve">same degraded distribution.</w:t>
      </w:r>
    </w:p>
    <w:bookmarkEnd w:id="12"/>
    <w:bookmarkStart w:id="13" w:name="contribution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Contributions</w:t>
      </w:r>
    </w:p>
    <w:p>
      <w:pPr>
        <w:pStyle w:val="FirstParagraph"/>
      </w:pPr>
      <w:r>
        <w:t xml:space="preserve">This work contributes:</w:t>
      </w:r>
    </w:p>
    <w:p>
      <w:pPr>
        <w:numPr>
          <w:ilvl w:val="0"/>
          <w:numId w:val="1001"/>
        </w:numPr>
      </w:pPr>
      <w:r>
        <w:t xml:space="preserve">a 402-cell training campaign across three architectures, two</w:t>
      </w:r>
      <w:r>
        <w:t xml:space="preserve"> </w:t>
      </w:r>
      <w:r>
        <w:t xml:space="preserve">datasets, five degradation levels, and six experimental phases, all</w:t>
      </w:r>
      <w:r>
        <w:t xml:space="preserve"> </w:t>
      </w:r>
      <w:r>
        <w:t xml:space="preserve">trained to convergence under a single fair-comparison invariant</w:t>
      </w:r>
      <w:r>
        <w:t xml:space="preserve"> </w:t>
      </w:r>
      <w:r>
        <w:t xml:space="preserve">(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uniform input, frozen Optuna L3 hyperparameters,</w:t>
      </w:r>
      <w:r>
        <w:t xml:space="preserve"> </w:t>
      </w:r>
      <w:r>
        <w:t xml:space="preserve">identical data pipeline);</w:t>
      </w:r>
    </w:p>
    <w:p>
      <w:pPr>
        <w:numPr>
          <w:ilvl w:val="0"/>
          <w:numId w:val="1001"/>
        </w:numPr>
      </w:pPr>
      <w:r>
        <w:t xml:space="preserve">a 48-replicate multi-seed audit on the 24 L3 headline cells that</w:t>
      </w:r>
      <w:r>
        <w:t xml:space="preserve"> </w:t>
      </w:r>
      <w:r>
        <w:t xml:space="preserve">bounds run-to-run variance below 1.5 percentage points;</w:t>
      </w:r>
    </w:p>
    <w:p>
      <w:pPr>
        <w:numPr>
          <w:ilvl w:val="0"/>
          <w:numId w:val="1001"/>
        </w:numPr>
      </w:pPr>
      <w:r>
        <w:t xml:space="preserve">a deterministic 256-image PSNR / SSIM probe per pipeline so that</w:t>
      </w:r>
      <w:r>
        <w:t xml:space="preserve"> </w:t>
      </w:r>
      <w:r>
        <w:t xml:space="preserve">accuracy can be compared against the physical image-quality scale,</w:t>
      </w:r>
      <w:r>
        <w:t xml:space="preserve"> </w:t>
      </w:r>
      <w:r>
        <w:t xml:space="preserve">not only against the discrete level index;</w:t>
      </w:r>
    </w:p>
    <w:p>
      <w:pPr>
        <w:numPr>
          <w:ilvl w:val="0"/>
          <w:numId w:val="1001"/>
        </w:numPr>
      </w:pPr>
      <w:r>
        <w:t xml:space="preserve">a per-axis attribution decomposition at L3 that shows resolution is</w:t>
      </w:r>
      <w:r>
        <w:t xml:space="preserve"> </w:t>
      </w:r>
      <w:r>
        <w:t xml:space="preserve">the dominant cost (</w:t>
      </w:r>
      <m:oMath>
        <m:r>
          <m:rPr>
            <m:sty m:val="p"/>
          </m:rPr>
          <m:t>∼</m:t>
        </m:r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blur or salt and pepper);</w:t>
      </w:r>
    </w:p>
    <w:p>
      <w:pPr>
        <w:numPr>
          <w:ilvl w:val="0"/>
          <w:numId w:val="1001"/>
        </w:numPr>
      </w:pPr>
      <w:r>
        <w:t xml:space="preserve">a regularization-recovery sweep (Phase D) and a protocol simplification</w:t>
      </w:r>
      <w:r>
        <w:t xml:space="preserve"> </w:t>
      </w:r>
      <w:r>
        <w:t xml:space="preserve">sweep (Phase B2 / B2-nr) that, together, quantify the fraction of the</w:t>
      </w:r>
      <w:r>
        <w:t xml:space="preserve"> </w:t>
      </w:r>
      <w:r>
        <w:t xml:space="preserve">accuracy collapse that is information-bottleneck versus training noise.</w:t>
      </w:r>
    </w:p>
    <w:bookmarkEnd w:id="13"/>
    <w:bookmarkStart w:id="14" w:name="roadmap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Roadmap</w:t>
      </w:r>
    </w:p>
    <w:p>
      <w:pPr>
        <w:pStyle w:val="FirstParagraph"/>
      </w:pPr>
      <w:r>
        <w:t xml:space="preserve">Section</w:t>
      </w:r>
      <w:r>
        <w:t xml:space="preserve"> </w:t>
      </w:r>
      <w:hyperlink w:anchor="sec:spec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reports the as-built technical specification of the</w:t>
      </w:r>
      <w:r>
        <w:t xml:space="preserve"> </w:t>
      </w:r>
      <w:r>
        <w:t xml:space="preserve">delivered software product and lists every drift from the preliminary</w:t>
      </w:r>
      <w:r>
        <w:t xml:space="preserve"> </w:t>
      </w:r>
      <w:r>
        <w:t xml:space="preserve">specification. Section</w:t>
      </w:r>
      <w:r>
        <w:t xml:space="preserve"> </w:t>
      </w:r>
      <w:hyperlink w:anchor="sec:design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documents the engineering approach</w:t>
      </w:r>
      <w:r>
        <w:t xml:space="preserve"> </w:t>
      </w:r>
      <w:r>
        <w:t xml:space="preserve">and the mathematical model. Section</w:t>
      </w:r>
      <w:r>
        <w:t xml:space="preserve"> </w:t>
      </w:r>
      <w:hyperlink w:anchor="sec:tes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reports the final</w:t>
      </w:r>
      <w:r>
        <w:t xml:space="preserve"> </w:t>
      </w:r>
      <w:r>
        <w:t xml:space="preserve">acceptance tests, including the per-pipeline image-quality probe and the</w:t>
      </w:r>
      <w:r>
        <w:t xml:space="preserve"> </w:t>
      </w:r>
      <w:r>
        <w:t xml:space="preserve">seven per-phase accuracy tables. Section</w:t>
      </w:r>
      <w:r>
        <w:t xml:space="preserve"> </w:t>
      </w:r>
      <w:hyperlink w:anchor="sec:problem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enumerates the</w:t>
      </w:r>
      <w:r>
        <w:t xml:space="preserve"> </w:t>
      </w:r>
      <w:r>
        <w:t xml:space="preserve">problems encountered during implementation and how each was resolved.</w:t>
      </w:r>
      <w:r>
        <w:t xml:space="preserve"> </w:t>
      </w:r>
      <w:r>
        <w:t xml:space="preserve">Section</w:t>
      </w:r>
      <w:r>
        <w:t xml:space="preserve"> </w:t>
      </w:r>
      <w:hyperlink w:anchor="sec:conclusion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compares the achieved performance to the</w:t>
      </w:r>
      <w:r>
        <w:t xml:space="preserve"> </w:t>
      </w:r>
      <w:r>
        <w:t xml:space="preserve">preliminary specification and discusses goal-by-goal success.</w:t>
      </w:r>
    </w:p>
    <w:bookmarkEnd w:id="14"/>
    <w:bookmarkEnd w:id="15"/>
    <w:bookmarkStart w:id="17" w:name="sec:phas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Experimental phases at a glance</w:t>
      </w:r>
    </w:p>
    <w:p>
      <w:pPr>
        <w:pStyle w:val="FirstParagraph"/>
      </w:pPr>
      <w:r>
        <w:t xml:space="preserve">The campaign decomposes the THz-like robustness question into seven</w:t>
      </w:r>
      <w:r>
        <w:t xml:space="preserve"> </w:t>
      </w:r>
      <w:r>
        <w:t xml:space="preserve">phases. Each phase opens with the pipeline it uses and closes with the</w:t>
      </w:r>
      <w:r>
        <w:t xml:space="preserve"> </w:t>
      </w:r>
      <w:r>
        <w:t xml:space="preserve">research question that motivates it.</w:t>
      </w:r>
    </w:p>
    <w:p>
      <w:pPr>
        <w:pStyle w:val="BodyText"/>
      </w:pPr>
      <w:r>
        <w:rPr>
          <w:b/>
          <w:bCs/>
        </w:rPr>
        <w:t xml:space="preserve">Phase A (Clean baseline).</w:t>
      </w:r>
      <w:r>
        <w:t xml:space="preserve">Pipeline: identity. Six cells</w:t>
      </w:r>
      <w:r>
        <w:t xml:space="preserve"> </w:t>
      </w:r>
      <w:r>
        <w:t xml:space="preserve">(three models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two datasets). Establishes the upper-bound</w:t>
      </w:r>
      <w:r>
        <w:t xml:space="preserve"> </w:t>
      </w:r>
      <w:r>
        <w:t xml:space="preserve">clean accuracy that every later phase is measured against.</w:t>
      </w:r>
    </w:p>
    <w:p>
      <w:pPr>
        <w:pStyle w:val="BodyText"/>
      </w:pPr>
      <w:r>
        <w:rPr>
          <w:b/>
          <w:bCs/>
        </w:rPr>
        <w:t xml:space="preserve">Phase B1 (Combined degradation).</w:t>
      </w:r>
      <w:r>
        <w:t xml:space="preserve">Pipeline: saturation lerp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downsample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upsample to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blur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additive noise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salt-and-pepper, with all five axes active at the same level. Thirty</w:t>
      </w:r>
      <w:r>
        <w:t xml:space="preserve"> </w:t>
      </w:r>
      <w:r>
        <w:t xml:space="preserve">cells (three models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two datasets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five levels).</w:t>
      </w:r>
      <w:r>
        <w:t xml:space="preserve"> </w:t>
      </w:r>
      <w:r>
        <w:t xml:space="preserve">Quantifies the realistic worst-case combined-degradation curve.</w:t>
      </w:r>
    </w:p>
    <w:p>
      <w:pPr>
        <w:pStyle w:val="BodyText"/>
      </w:pPr>
      <w:r>
        <w:rPr>
          <w:b/>
          <w:bCs/>
        </w:rPr>
        <w:t xml:space="preserve">Phase C (Single-axis isolation).</w:t>
      </w:r>
      <w:r>
        <w:t xml:space="preserve">Pipeline: exactly one</w:t>
      </w:r>
      <w:r>
        <w:t xml:space="preserve"> </w:t>
      </w:r>
      <w:r>
        <w:t xml:space="preserve">axis is active at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the other four are held at identity.</w:t>
      </w:r>
      <w:r>
        <w:t xml:space="preserve"> </w:t>
      </w:r>
      <w:r>
        <w:t xml:space="preserve">One hundred fifty cells (three models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two datasets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five levels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five axes). Decomposes the Phase B1 collapse into</w:t>
      </w:r>
      <w:r>
        <w:t xml:space="preserve"> </w:t>
      </w:r>
      <w:r>
        <w:t xml:space="preserve">per-axis contributions; the §</w:t>
      </w:r>
      <w:hyperlink w:anchor="sec:tes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plots use PSNR and SSIM</w:t>
      </w:r>
      <w:r>
        <w:t xml:space="preserve"> </w:t>
      </w:r>
      <w:r>
        <w:t xml:space="preserve">on the</w:t>
      </w:r>
      <w:r>
        <w:t xml:space="preserve"> </w:t>
      </w:r>
      <m:oMath>
        <m:r>
          <m:t>x</m:t>
        </m:r>
      </m:oMath>
      <w:r>
        <w:t xml:space="preserve">-axis to compare axes on a common image-quality scale.</w:t>
      </w:r>
    </w:p>
    <w:p>
      <w:pPr>
        <w:pStyle w:val="BodyText"/>
      </w:pPr>
      <w:r>
        <w:rPr>
          <w:b/>
          <w:bCs/>
        </w:rPr>
        <w:t xml:space="preserve">Phase D (Regularization-recovery sweep).</w:t>
      </w:r>
      <w:r>
        <w:t xml:space="preserve">Pipeline:</w:t>
      </w:r>
      <w:r>
        <w:t xml:space="preserve"> </w:t>
      </w:r>
      <w:r>
        <w:t xml:space="preserve">identical to Phase B1, plus one of three training-time regularization</w:t>
      </w:r>
      <w:r>
        <w:t xml:space="preserve"> </w:t>
      </w:r>
      <w:r>
        <w:t xml:space="preserve">treatments T1, T2, T3 (architectural dropout, label mixing, kitchen</w:t>
      </w:r>
      <w:r>
        <w:t xml:space="preserve"> </w:t>
      </w:r>
      <w:r>
        <w:t xml:space="preserve">sink). Ninety cells (three models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two datasets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three</w:t>
      </w:r>
      <w:r>
        <w:t xml:space="preserve"> </w:t>
      </w:r>
      <w:r>
        <w:t xml:space="preserve">treatments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five levels). Asks whether the Phase B1 collapse</w:t>
      </w:r>
      <w:r>
        <w:t xml:space="preserve"> </w:t>
      </w:r>
      <w:r>
        <w:t xml:space="preserve">is an overfit (regularization should recover it) or an information</w:t>
      </w:r>
      <w:r>
        <w:t xml:space="preserve"> </w:t>
      </w:r>
      <w:r>
        <w:t xml:space="preserve">bottleneck (recovery should be marginal).</w:t>
      </w:r>
    </w:p>
    <w:p>
      <w:pPr>
        <w:pStyle w:val="BodyText"/>
      </w:pPr>
      <w:r>
        <w:rPr>
          <w:b/>
          <w:bCs/>
        </w:rPr>
        <w:t xml:space="preserve">Phase B2 (THz-protocol simplification).</w:t>
      </w:r>
      <w:r>
        <w:t xml:space="preserve">Pipeline: Phase</w:t>
      </w:r>
      <w:r>
        <w:t xml:space="preserve"> </w:t>
      </w:r>
      <w:r>
        <w:t xml:space="preserve">B1 minus the saturation and additive-noise axes; T3 regularization</w:t>
      </w:r>
      <w:r>
        <w:t xml:space="preserve"> </w:t>
      </w:r>
      <w:r>
        <w:t xml:space="preserve">active. Thirty cells. Models the realistic THz acquisition (a</w:t>
      </w:r>
      <w:r>
        <w:t xml:space="preserve"> </w:t>
      </w:r>
      <w:r>
        <w:t xml:space="preserve">single-channel low-resolution blurry frame with no chroma noise).</w:t>
      </w:r>
    </w:p>
    <w:p>
      <w:pPr>
        <w:pStyle w:val="BodyText"/>
      </w:pPr>
      <w:r>
        <w:rPr>
          <w:b/>
          <w:bCs/>
        </w:rPr>
        <w:t xml:space="preserve">Phase B2-nr (No-regularization arm).</w:t>
      </w:r>
      <w:r>
        <w:t xml:space="preserve">Same pipeline as</w:t>
      </w:r>
      <w:r>
        <w:t xml:space="preserve"> </w:t>
      </w:r>
      <w:r>
        <w:t xml:space="preserve">Phase B2, at L3 only, T3 off. Six cells. Decomposes the</w:t>
      </w:r>
      <w:r>
        <w:t xml:space="preserve"> </w:t>
      </w:r>
      <w:r>
        <w:t xml:space="preserve">Phase B1</w:t>
      </w:r>
      <m:oMath>
        <m:r>
          <m:rPr>
            <m:sty m:val="p"/>
          </m:rPr>
          <m:t>→</m:t>
        </m:r>
      </m:oMath>
      <w:r>
        <w:t xml:space="preserve">B2 accuracy gain into a pure-protocol component and a</w:t>
      </w:r>
      <w:r>
        <w:t xml:space="preserve"> </w:t>
      </w:r>
      <w:r>
        <w:t xml:space="preserve">regularization component.</w:t>
      </w:r>
    </w:p>
    <w:p>
      <w:pPr>
        <w:pStyle w:val="BodyText"/>
      </w:pPr>
      <w:r>
        <w:rPr>
          <w:b/>
          <w:bCs/>
        </w:rPr>
        <w:t xml:space="preserve">Phase C2 (Single-axis isolation under the THz protocol).</w:t>
      </w:r>
      <w:r>
        <w:t xml:space="preserve"> </w:t>
      </w:r>
      <w:r>
        <w:t xml:space="preserve">Same identity-elsewhere logic as Phase C, restricted to the three</w:t>
      </w:r>
      <w:r>
        <w:t xml:space="preserve"> </w:t>
      </w:r>
      <w:r>
        <w:t xml:space="preserve">THz-relevant axes (resolution, blur, salt-and-pepper). Ninety cells.</w:t>
      </w:r>
      <w:r>
        <w:t xml:space="preserve"> </w:t>
      </w:r>
      <w:r>
        <w:t xml:space="preserve">Per-axis attribution under deployment-realistic conditions.</w:t>
      </w:r>
    </w:p>
    <w:bookmarkStart w:id="16" w:name="tab:phases_overview"/>
    <w:p>
      <w:pPr>
        <w:pStyle w:val="TableCaption"/>
      </w:pPr>
      <w:r>
        <w:t xml:space="preserve">Experimental phases at a glance. The campaign comprises 402</w:t>
      </w:r>
      <w:r>
        <w:t xml:space="preserve"> </w:t>
      </w:r>
      <w:r>
        <w:t xml:space="preserve">canonical training cells at seed 42 plus 48 multi-seed audit replicates</w:t>
      </w:r>
      <w:r>
        <w:t xml:space="preserve"> </w:t>
      </w:r>
      <w:r>
        <w:t xml:space="preserve">at seeds 43 and 44. Each phase isolates a different facet of the</w:t>
      </w:r>
      <w:r>
        <w:t xml:space="preserve"> </w:t>
      </w:r>
      <w:r>
        <w:t xml:space="preserve">accuracy collapse under the five-level THz-like degradation curve.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xperimental phases at a glance. The campaign comprises 402 canonical training cells at seed 42 plus 48 multi-seed audit replicates at seeds 43 and 44. Each phase isolates a different facet of the accuracy collapse under the five-level THz-like degradation curve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Cells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Axes active at 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Levels swept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research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(identity)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Upper-bound clean accuracy per (model, dataset).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 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 of the realistic combined-degradation collapse.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axis (4 idle)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Per-axis decomposition of the Phase B1 collapse.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 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 / T2 / 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Phase B1 collapse overfit or information bottleneck?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axes (sat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noise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of the realistic THz protocol on the combined curve.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B2-nr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Decomposition of B1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B2 into protocol versus regularization.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{res, blur, S&amp;P}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Per-axis attribution under the THz protocol.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Multi-seed audit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24 L3 headline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inherits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Run-to-run variance bound on every headline cell.</w:t>
            </w:r>
          </w:p>
        </w:tc>
      </w:tr>
    </w:tbl>
    <w:bookmarkEnd w:id="16"/>
    <w:p>
      <w:pPr>
        <w:pStyle w:val="BodyText"/>
      </w:pPr>
      <w:r>
        <w:t xml:space="preserve">Subsequent sections refer back to this overview for pipeline</w:t>
      </w:r>
      <w:r>
        <w:t xml:space="preserve"> </w:t>
      </w:r>
      <w:r>
        <w:t xml:space="preserve">definitions and do not re-explain them. Table</w:t>
      </w:r>
      <w:r>
        <w:t xml:space="preserve"> </w:t>
      </w:r>
      <w:hyperlink w:anchor="tab:phases_overview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is the single point of reference.</w:t>
      </w:r>
    </w:p>
    <w:bookmarkEnd w:id="17"/>
    <w:bookmarkStart w:id="26" w:name="sec:spec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Final Technical Specification</w:t>
      </w:r>
    </w:p>
    <w:p>
      <w:pPr>
        <w:pStyle w:val="FirstParagraph"/>
      </w:pPr>
      <w:r>
        <w:t xml:space="preserve">This section reports the as-built specification of the delivered software</w:t>
      </w:r>
      <w:r>
        <w:t xml:space="preserve"> </w:t>
      </w:r>
      <w:r>
        <w:t xml:space="preserve">product, and documents every drift from the preliminary specification</w:t>
      </w:r>
      <w:r>
        <w:t xml:space="preserve"> </w:t>
      </w:r>
      <w:r>
        <w:t xml:space="preserve">(Shi 2024; Huang et al. 2017)</w:t>
      </w:r>
      <w:r>
        <w:t xml:space="preserve">.</w:t>
      </w:r>
    </w:p>
    <w:bookmarkStart w:id="18" w:name="product-overview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Product overview</w:t>
      </w:r>
    </w:p>
    <w:p>
      <w:pPr>
        <w:pStyle w:val="FirstParagraph"/>
      </w:pPr>
      <w:r>
        <w:t xml:space="preserve">The delivered product is a research-grade Python package that:</w:t>
      </w:r>
    </w:p>
    <w:p>
      <w:pPr>
        <w:numPr>
          <w:ilvl w:val="0"/>
          <w:numId w:val="1002"/>
        </w:numPr>
      </w:pPr>
      <w:r>
        <w:t xml:space="preserve">synthetically degrades a clean image dataset using a deterministic</w:t>
      </w:r>
      <w:r>
        <w:t xml:space="preserve"> </w:t>
      </w:r>
      <w:r>
        <w:t xml:space="preserve">five-axis pipeline (saturation, downsample, blur, additive noise,</w:t>
      </w:r>
      <w:r>
        <w:t xml:space="preserve"> </w:t>
      </w:r>
      <w:r>
        <w:t xml:space="preserve">salt and pepper);</w:t>
      </w:r>
    </w:p>
    <w:p>
      <w:pPr>
        <w:numPr>
          <w:ilvl w:val="0"/>
          <w:numId w:val="1002"/>
        </w:numPr>
      </w:pPr>
      <w:r>
        <w:t xml:space="preserve">fine-tunes one of three pretrained deep backbones (ResNet50,</w:t>
      </w:r>
      <w:r>
        <w:t xml:space="preserve"> </w:t>
      </w:r>
      <w:r>
        <w:t xml:space="preserve">DenseNet121, TransNeXt-tiny) on the degraded distribution under a</w:t>
      </w:r>
      <w:r>
        <w:t xml:space="preserve"> </w:t>
      </w:r>
      <w:r>
        <w:t xml:space="preserve">unified training recipe;</w:t>
      </w:r>
    </w:p>
    <w:p>
      <w:pPr>
        <w:numPr>
          <w:ilvl w:val="0"/>
          <w:numId w:val="1002"/>
        </w:numPr>
      </w:pPr>
      <w:r>
        <w:t xml:space="preserve">evaluates the trained model on a held-out validation split and</w:t>
      </w:r>
      <w:r>
        <w:t xml:space="preserve"> </w:t>
      </w:r>
      <w:r>
        <w:t xml:space="preserve">records validation accuracy, calibration, inference throughput, and</w:t>
      </w:r>
      <w:r>
        <w:t xml:space="preserve"> </w:t>
      </w:r>
      <w:r>
        <w:t xml:space="preserve">per-pipeline PSNR / SSIM metrics;</w:t>
      </w:r>
    </w:p>
    <w:p>
      <w:pPr>
        <w:numPr>
          <w:ilvl w:val="0"/>
          <w:numId w:val="1002"/>
        </w:numPr>
      </w:pPr>
      <w:r>
        <w:t xml:space="preserve">aggregates results across the 402-cell campaign and the 48-replicate</w:t>
      </w:r>
      <w:r>
        <w:t xml:space="preserve"> </w:t>
      </w:r>
      <w:r>
        <w:t xml:space="preserve">multi-seed audit into a single canonical JSON artifact and a 7-tab</w:t>
      </w:r>
      <w:r>
        <w:t xml:space="preserve"> </w:t>
      </w:r>
      <w:r>
        <w:t xml:space="preserve">interactive dashboard.</w:t>
      </w:r>
    </w:p>
    <w:bookmarkEnd w:id="18"/>
    <w:bookmarkStart w:id="19" w:name="inputs-outputs-interface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Inputs, outputs, interfaces</w:t>
      </w:r>
    </w:p>
    <w:p>
      <w:pPr>
        <w:pStyle w:val="FirstParagraph"/>
      </w:pPr>
      <w:r>
        <w:rPr>
          <w:b/>
          <w:bCs/>
        </w:rPr>
        <w:t xml:space="preserve">Inputs.</w:t>
      </w:r>
      <w:r>
        <w:t xml:space="preserve">Standard image datasets (CIFAR-10</w:t>
      </w:r>
      <w:r>
        <w:t xml:space="preserve"> </w:t>
      </w:r>
      <w:r>
        <w:t xml:space="preserve">(Krizhevsky 2009)</w:t>
      </w:r>
      <w:r>
        <w:t xml:space="preserve"> </w:t>
      </w:r>
      <w:r>
        <w:t xml:space="preserve">and MNIST</w:t>
      </w:r>
      <w:r>
        <w:t xml:space="preserve"> </w:t>
      </w:r>
      <w:r>
        <w:t xml:space="preserve">(LeCun et al. 1998)</w:t>
      </w:r>
      <w:r>
        <w:t xml:space="preserve">), automatically downloaded by torchvision on</w:t>
      </w:r>
      <w:r>
        <w:t xml:space="preserve"> </w:t>
      </w:r>
      <w:r>
        <w:t xml:space="preserve">first invocation. A YAML / dictionary configuration object selects the</w:t>
      </w:r>
      <w:r>
        <w:t xml:space="preserve"> </w:t>
      </w:r>
      <w:r>
        <w:t xml:space="preserve">backbone, the degradation phase, the level, the axis (for single-axis</w:t>
      </w:r>
      <w:r>
        <w:t xml:space="preserve"> </w:t>
      </w:r>
      <w:r>
        <w:t xml:space="preserve">phases), the treatment (for Phase D), and the random seed.</w:t>
      </w:r>
    </w:p>
    <w:p>
      <w:pPr>
        <w:pStyle w:val="BodyText"/>
      </w:pPr>
      <w:r>
        <w:rPr>
          <w:b/>
          <w:bCs/>
        </w:rPr>
        <w:t xml:space="preserve">Outputs.</w:t>
      </w:r>
      <w:r>
        <w:t xml:space="preserve">Per-cell training logs, validation metrics, best</w:t>
      </w:r>
      <w:r>
        <w:t xml:space="preserve"> </w:t>
      </w:r>
      <w:r>
        <w:t xml:space="preserve">checkpoint, image-quality probe JSON. The canonical aggregator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Final_Exp.json</w:t>
      </w:r>
      <w:r>
        <w:t xml:space="preserve">, schema version 3) joins the 402 canonical cells</w:t>
      </w:r>
      <w:r>
        <w:t xml:space="preserve"> </w:t>
      </w:r>
      <w:r>
        <w:t xml:space="preserve">with the 48 multi-seed replicates and exposes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_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⟩</m:t>
        </m:r>
        <m:r>
          <m:rPr>
            <m:sty m:val="p"/>
          </m:rPr>
          <m:t>±</m:t>
        </m:r>
        <m:r>
          <m:t>σ</m:t>
        </m:r>
      </m:oMath>
      <w:r>
        <w:t xml:space="preserve"> </w:t>
      </w:r>
      <w:r>
        <w:t xml:space="preserve">pairs.</w:t>
      </w:r>
    </w:p>
    <w:p>
      <w:pPr>
        <w:pStyle w:val="BodyText"/>
      </w:pPr>
      <w:r>
        <w:rPr>
          <w:b/>
          <w:bCs/>
        </w:rPr>
        <w:t xml:space="preserve">Hardware interface.</w:t>
      </w:r>
      <w:r>
        <w:t xml:space="preserve">The training stack runs on a single NVIDIA</w:t>
      </w:r>
      <w:r>
        <w:t xml:space="preserve"> </w:t>
      </w:r>
      <w:r>
        <w:t xml:space="preserve">RTX 5070 (sm_120, Blackwell architecture) at</w:t>
      </w:r>
      <w:r>
        <w:t xml:space="preserve"> </w:t>
      </w:r>
      <w:r>
        <w:rPr>
          <w:rStyle w:val="VerbatimChar"/>
        </w:rPr>
        <w:t xml:space="preserve">bf16-mixed</w:t>
      </w:r>
      <w:r>
        <w:t xml:space="preserve"> </w:t>
      </w:r>
      <w:r>
        <w:t xml:space="preserve">precision.</w:t>
      </w:r>
      <w:r>
        <w:t xml:space="preserve"> </w:t>
      </w:r>
      <w:r>
        <w:t xml:space="preserve">A CPU-only fallback (</w:t>
      </w:r>
      <w:r>
        <w:rPr>
          <w:rStyle w:val="VerbatimChar"/>
        </w:rPr>
        <w:t xml:space="preserve">32-true</w:t>
      </w:r>
      <w:r>
        <w:t xml:space="preserve"> </w:t>
      </w:r>
      <w:r>
        <w:t xml:space="preserve">precision) is available for portability</w:t>
      </w:r>
      <w:r>
        <w:t xml:space="preserve"> </w:t>
      </w:r>
      <w:r>
        <w:t xml:space="preserve">but is too slow to be useful at the campaign scale. There is no specialized</w:t>
      </w:r>
      <w:r>
        <w:t xml:space="preserve"> </w:t>
      </w:r>
      <w:r>
        <w:t xml:space="preserve">hardware development; the system targets commodity GPU servers.</w:t>
      </w:r>
    </w:p>
    <w:bookmarkEnd w:id="19"/>
    <w:bookmarkStart w:id="22" w:name="final-specification-of-the-system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Final specification of the system</w:t>
      </w:r>
    </w:p>
    <w:p>
      <w:pPr>
        <w:pStyle w:val="FirstParagraph"/>
      </w:pPr>
      <w:r>
        <w:rPr>
          <w:b/>
          <w:bCs/>
        </w:rPr>
        <w:t xml:space="preserve">Models.</w:t>
      </w:r>
      <w:r>
        <w:t xml:space="preserve">Three backbones are supported. Table</w:t>
      </w:r>
      <w:r>
        <w:t xml:space="preserve"> </w:t>
      </w:r>
      <w:hyperlink w:anchor="tab:hparam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summarizes the training recipe; the differential learning-rate convention</w:t>
      </w:r>
      <w:r>
        <w:t xml:space="preserve"> </w:t>
      </w:r>
      <w:r>
        <w:t xml:space="preserve">(head</w:t>
      </w:r>
      <w:r>
        <w:t xml:space="preserve"> </w:t>
      </w:r>
      <m:oMath>
        <m:r>
          <m:rPr>
            <m:sty m:val="p"/>
          </m:rPr>
          <m:t>×</m:t>
        </m:r>
        <m:r>
          <m:t>10</m:t>
        </m:r>
      </m:oMath>
      <w:r>
        <w:t xml:space="preserve"> </w:t>
      </w:r>
      <w:r>
        <w:t xml:space="preserve">over backbone) is taken from the source papers.</w:t>
      </w:r>
    </w:p>
    <w:bookmarkStart w:id="20" w:name="tab:hparams"/>
    <w:p>
      <w:pPr>
        <w:pStyle w:val="TableCaption"/>
      </w:pPr>
      <w:r>
        <w:t xml:space="preserve">Training hyperparameters (final).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aining hyperparameters (final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CNNs (ResNet50, DenseNet121)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resolution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224</m:t>
              </m:r>
              <m:r>
                <m:rPr>
                  <m:sty m:val="p"/>
                </m:rPr>
                <m:t>×</m:t>
              </m:r>
              <m:r>
                <m:t>224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224</m:t>
              </m:r>
              <m:r>
                <m:rPr>
                  <m:sty m:val="p"/>
                </m:rPr>
                <m:t>×</m:t>
              </m:r>
              <m:r>
                <m:t>224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AdamW</w:t>
            </w:r>
            <w:r>
              <w:t xml:space="preserve"> </w:t>
            </w:r>
            <w:r>
              <w:t xml:space="preserve">(Loshchilov and Hutter 2019b)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 annealing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 annealing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 learning rate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Backbone learning rate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decay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smoothing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Stochastic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 clip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∇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1.0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∇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1.0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stopping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patience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patience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bf16-mixed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bf16-mixed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(canonical)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(canonical)</w:t>
            </w:r>
          </w:p>
        </w:tc>
      </w:tr>
    </w:tbl>
    <w:bookmarkEnd w:id="20"/>
    <w:p>
      <w:pPr>
        <w:pStyle w:val="BodyText"/>
      </w:pPr>
      <w:r>
        <w:rPr>
          <w:b/>
          <w:bCs/>
        </w:rPr>
        <w:t xml:space="preserve">Degradation pipeline.</w:t>
      </w:r>
      <w:r>
        <w:t xml:space="preserve">The five-level schedule (Table</w:t>
      </w:r>
      <w:r>
        <w:t xml:space="preserve"> </w:t>
      </w:r>
      <w:hyperlink w:anchor="tab:levels">
        <w:r>
          <w:rPr>
            <w:rStyle w:val="Hyperlink"/>
          </w:rPr>
          <w:t xml:space="preserve">3</w:t>
        </w:r>
      </w:hyperlink>
      <w:r>
        <w:t xml:space="preserve">) is the single source of truth for L1 through L5; it is</w:t>
      </w:r>
      <w:r>
        <w:t xml:space="preserve"> </w:t>
      </w:r>
      <w:r>
        <w:t xml:space="preserve">imported from</w:t>
      </w:r>
      <w:r>
        <w:t xml:space="preserve"> </w:t>
      </w:r>
      <w:r>
        <w:rPr>
          <w:rStyle w:val="VerbatimChar"/>
        </w:rPr>
        <w:t xml:space="preserve">src/data/degradation_levels.py</w:t>
      </w:r>
      <w:r>
        <w:t xml:space="preserve"> </w:t>
      </w:r>
      <w:r>
        <w:t xml:space="preserve">into both the training</w:t>
      </w:r>
      <w:r>
        <w:t xml:space="preserve"> </w:t>
      </w:r>
      <w:r>
        <w:t xml:space="preserve">and the evaluation paths.</w:t>
      </w:r>
    </w:p>
    <w:bookmarkStart w:id="21" w:name="tab:levels"/>
    <w:p>
      <w:pPr>
        <w:pStyle w:val="TableCaption"/>
      </w:pPr>
      <w:r>
        <w:t xml:space="preserve">Five-level synthetic degradation schedule. Blur kernel 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are pixel-domain values at the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model input.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ve-level synthetic degradation schedule. Blur kernel and \sigma are pixel-domain values at the 224 \times 224 model input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low_res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Blur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Blur</w:t>
            </w:r>
            <w:r>
              <w:t xml:space="preserve"> </w:t>
            </w: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Noise 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bookmarkEnd w:id="21"/>
    <w:p>
      <w:pPr>
        <w:pStyle w:val="BodyText"/>
      </w:pPr>
      <w:r>
        <w:rPr>
          <w:b/>
          <w:bCs/>
        </w:rPr>
        <w:t xml:space="preserve">Data pipeline.</w:t>
      </w:r>
      <w:r>
        <w:t xml:space="preserve">Pipeline version 2 (finalized 2026-05-20):</w:t>
      </w:r>
      <w:r>
        <w:t xml:space="preserve"> </w:t>
      </w:r>
      <w:r>
        <w:t xml:space="preserve">the saturation lerp is applied first, then the bilinear</w:t>
      </w:r>
      <w:r>
        <w:t xml:space="preserve"> </w:t>
      </w:r>
      <w:r>
        <w:t xml:space="preserve">downsample to</w:t>
      </w:r>
      <w:r>
        <w:t xml:space="preserve"> </w:t>
      </w:r>
      <w:r>
        <w:rPr>
          <w:rStyle w:val="VerbatimChar"/>
        </w:rPr>
        <w:t xml:space="preserve">low_res</w:t>
      </w:r>
      <w:r>
        <w:t xml:space="preserve">, then additive Gaussian noise and salt and</w:t>
      </w:r>
      <w:r>
        <w:t xml:space="preserve"> </w:t>
      </w:r>
      <w:r>
        <w:t xml:space="preserve">pepper at the low resolution, then bicubic upsample to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,</w:t>
      </w:r>
      <w:r>
        <w:t xml:space="preserve"> </w:t>
      </w:r>
      <w:r>
        <w:t xml:space="preserve">then Gaussian blur (kernel calibrated for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), then a final</w:t>
      </w:r>
      <w:r>
        <w:t xml:space="preserve"> </w:t>
      </w:r>
      <w:r>
        <w:t xml:space="preserve">clip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ImageNet normalization.</w:t>
      </w:r>
    </w:p>
    <w:p>
      <w:pPr>
        <w:pStyle w:val="BodyText"/>
      </w:pPr>
      <w:r>
        <w:rPr>
          <w:b/>
          <w:bCs/>
        </w:rPr>
        <w:t xml:space="preserve">Determinism.</w:t>
      </w:r>
      <w:r>
        <w:t xml:space="preserve">The per-sample degradation seed is</w:t>
      </w:r>
      <w:r>
        <w:t xml:space="preserve"> </w:t>
      </w:r>
      <m:oMath>
        <m:r>
          <m:rPr>
            <m:nor/>
            <m:sty m:val="p"/>
          </m:rPr>
          <m:t>idx</m:t>
        </m:r>
        <m:r>
          <m:rPr>
            <m:sty m:val="p"/>
          </m:rPr>
          <m:t>+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on the validation split and</w:t>
      </w:r>
      <w:r>
        <w:t xml:space="preserve"> </w:t>
      </w:r>
      <w:r>
        <w:rPr>
          <w:rStyle w:val="VerbatimChar"/>
        </w:rPr>
        <w:t xml:space="preserve">idx</w:t>
      </w:r>
      <w:r>
        <w:t xml:space="preserve"> </w:t>
      </w:r>
      <w:r>
        <w:t xml:space="preserve">on the training</w:t>
      </w:r>
      <w:r>
        <w:t xml:space="preserve"> </w:t>
      </w:r>
      <w:r>
        <w:t xml:space="preserve">split. The byte-identity gate in</w:t>
      </w:r>
      <w:r>
        <w:t xml:space="preserve"> </w:t>
      </w:r>
      <w:r>
        <w:rPr>
          <w:rStyle w:val="VerbatimChar"/>
        </w:rPr>
        <w:t xml:space="preserve">src/tests/test_degradation_determinism.py</w:t>
      </w:r>
      <w:r>
        <w:t xml:space="preserve"> </w:t>
      </w:r>
      <w:r>
        <w:t xml:space="preserve">asserts that two</w:t>
      </w:r>
      <w:r>
        <w:t xml:space="preserve"> </w:t>
      </w:r>
      <w:r>
        <w:t xml:space="preserve">independent reads of the same validation index yield bit-identical pixels</w:t>
      </w:r>
      <w:r>
        <w:t xml:space="preserve"> </w:t>
      </w:r>
      <w:r>
        <w:t xml:space="preserve">across freshly built datasets; this is also verified across seeds 42, 43,</w:t>
      </w:r>
      <w:r>
        <w:t xml:space="preserve"> </w:t>
      </w:r>
      <w:r>
        <w:t xml:space="preserve">and 44 by the multi-seed audit test.</w:t>
      </w:r>
    </w:p>
    <w:bookmarkEnd w:id="22"/>
    <w:bookmarkStart w:id="23" w:name="drift-from-the-preliminary-specification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Drift from the preliminary specification</w:t>
      </w:r>
    </w:p>
    <w:p>
      <w:pPr>
        <w:pStyle w:val="FirstParagraph"/>
      </w:pPr>
      <w:r>
        <w:t xml:space="preserve">The Preliminary Design Review (PDR,</w:t>
      </w:r>
      <w:r>
        <w:t xml:space="preserve"> </w:t>
      </w:r>
      <w:r>
        <w:rPr>
          <w:rStyle w:val="VerbatimChar"/>
        </w:rPr>
        <w:t xml:space="preserve">Pre-2026-061.pdf</w:t>
      </w:r>
      <w:r>
        <w:t xml:space="preserve">) defined the</w:t>
      </w:r>
      <w:r>
        <w:t xml:space="preserve"> </w:t>
      </w:r>
      <w:r>
        <w:t xml:space="preserve">project scope. Five drifts occurred during implementation: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TransNeXt variant: small to tiny.</w:t>
      </w:r>
      <w:r>
        <w:t xml:space="preserve"> </w:t>
      </w:r>
      <w:r>
        <w:t xml:space="preserve">The preliminary spec</w:t>
      </w:r>
      <w:r>
        <w:t xml:space="preserve"> </w:t>
      </w:r>
      <w:r>
        <w:t xml:space="preserve">proposed</w:t>
      </w:r>
      <w:r>
        <w:t xml:space="preserve"> </w:t>
      </w:r>
      <w:r>
        <w:rPr>
          <w:rStyle w:val="VerbatimChar"/>
        </w:rPr>
        <w:t xml:space="preserve">transnext_small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t>50</m:t>
        </m:r>
      </m:oMath>
      <w:r>
        <w:t xml:space="preserve">M parameters); the</w:t>
      </w:r>
      <w:r>
        <w:t xml:space="preserve"> </w:t>
      </w:r>
      <w:r>
        <w:t xml:space="preserve">2026-05-14 revision substituted</w:t>
      </w:r>
      <w:r>
        <w:t xml:space="preserve"> </w:t>
      </w:r>
      <w:r>
        <w:rPr>
          <w:rStyle w:val="VerbatimChar"/>
        </w:rPr>
        <w:t xml:space="preserve">transnext_tiny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t>28</m:t>
        </m:r>
      </m:oMath>
      <w:r>
        <w:t xml:space="preserve">M parameters) to keep the parameter count comparable to ResNet50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t>25</m:t>
        </m:r>
      </m:oMath>
      <w:r>
        <w:t xml:space="preserve">M) and to recover</w:t>
      </w:r>
      <w:r>
        <w:t xml:space="preserve"> </w:t>
      </w:r>
      <m:oMath>
        <m:r>
          <m:rPr>
            <m:sty m:val="p"/>
          </m:rPr>
          <m:t>∼</m:t>
        </m:r>
        <m:r>
          <m:t>310</m:t>
        </m:r>
      </m:oMath>
      <w:r>
        <w:t xml:space="preserve"> </w:t>
      </w:r>
      <w:r>
        <w:t xml:space="preserve">GPU-hours across the</w:t>
      </w:r>
      <w:r>
        <w:t xml:space="preserve"> </w:t>
      </w:r>
      <w:r>
        <w:t xml:space="preserve">TransNeXt rows. The change preserves the foveal-attention</w:t>
      </w:r>
      <w:r>
        <w:t xml:space="preserve"> </w:t>
      </w:r>
      <w:r>
        <w:t xml:space="preserve">mechanism, which was the architectural property of interest, and it</w:t>
      </w:r>
      <w:r>
        <w:t xml:space="preserve"> </w:t>
      </w:r>
      <w:r>
        <w:t xml:space="preserve">matches the published TransNeXt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checkpoint exactly.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Uniform</w:t>
      </w:r>
      <w:r>
        <w:rPr>
          <w:b/>
          <w:bCs/>
        </w:rP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protocol.</w:t>
      </w:r>
      <w:r>
        <w:t xml:space="preserve"> </w:t>
      </w:r>
      <w:r>
        <w:t xml:space="preserve">A short-lived V3</w:t>
      </w:r>
      <w:r>
        <w:t xml:space="preserve"> </w:t>
      </w:r>
      <w:r>
        <w:t xml:space="preserve">refactor (2026-05-08 through 2026-05-13) attempted native-resolution</w:t>
      </w:r>
      <w:r>
        <w:t xml:space="preserve"> </w:t>
      </w:r>
      <w:r>
        <w:t xml:space="preserve">training (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for TransNeXt on CIFAR-10,</w:t>
      </w:r>
      <w:r>
        <w:t xml:space="preserve"> </w:t>
      </w:r>
      <m:oMath>
        <m:r>
          <m:t>28</m:t>
        </m:r>
        <m:r>
          <m:rPr>
            <m:sty m:val="p"/>
          </m:rPr>
          <m:t>→</m:t>
        </m:r>
        <m:r>
          <m:t>32</m:t>
        </m:r>
      </m:oMath>
      <w:r>
        <w:t xml:space="preserve"> </w:t>
      </w:r>
      <w:r>
        <w:t xml:space="preserve">for MNIST). The refactor violated the fair-comparison invariant</w:t>
      </w:r>
      <w:r>
        <w:t xml:space="preserve"> </w:t>
      </w:r>
      <w:r>
        <w:t xml:space="preserve">(different backbones saw different tensor shapes), so it was rolled</w:t>
      </w:r>
      <w:r>
        <w:t xml:space="preserve"> </w:t>
      </w:r>
      <w:r>
        <w:t xml:space="preserve">back. Every cell now trains at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Blur kernel rescaling.</w:t>
      </w:r>
      <w:r>
        <w:t xml:space="preserve"> </w:t>
      </w:r>
      <w:r>
        <w:t xml:space="preserve">The 2026-05-12 degradation curve</w:t>
      </w:r>
      <w:r>
        <w:t xml:space="preserve"> </w:t>
      </w:r>
      <w:r>
        <w:t xml:space="preserve">used blur kernels designed for native</w:t>
      </w:r>
      <w: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imagery</w:t>
      </w:r>
      <w:r>
        <w:t xml:space="preserve"> </w:t>
      </w:r>
      <w:r>
        <w:t xml:space="preserve">(K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  <m:r>
          <m:rPr>
            <m:sty m:val="p"/>
          </m:rPr>
          <m:t>…</m:t>
        </m:r>
        <m:r>
          <m:t>13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0.8</m:t>
        </m:r>
        <m:r>
          <m:rPr>
            <m:sty m:val="p"/>
          </m:rPr>
          <m:t>…</m:t>
        </m:r>
        <m:r>
          <m:t>2.3</m:t>
        </m:r>
      </m:oMath>
      <w:r>
        <w:t xml:space="preserve">). At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those kernels covered</w:t>
      </w:r>
      <w:r>
        <w:t xml:space="preserve"> </w:t>
      </w:r>
      <m:oMath>
        <m:r>
          <m:rPr>
            <m:sty m:val="p"/>
          </m:rPr>
          <m:t>∼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6</m:t>
        </m:r>
        <m:r>
          <m:rPr>
            <m:sty m:val="p"/>
          </m:rPr>
          <m:t>%</m:t>
        </m:r>
      </m:oMath>
      <w:r>
        <w:t xml:space="preserve"> </w:t>
      </w:r>
      <w:r>
        <w:t xml:space="preserve">of the image width and</w:t>
      </w:r>
      <w:r>
        <w:t xml:space="preserve"> </w:t>
      </w:r>
      <w:r>
        <w:t xml:space="preserve">produced essentially invisible blur. They were rescaled on</w:t>
      </w:r>
      <w:r>
        <w:t xml:space="preserve"> </w:t>
      </w:r>
      <w:r>
        <w:t xml:space="preserve">2026-05-14 to pixel-domain values at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(K</w:t>
      </w:r>
      <w:r>
        <w:t xml:space="preserve"> </w:t>
      </w:r>
      <m:oMath>
        <m:r>
          <m:rPr>
            <m:sty m:val="p"/>
          </m:rPr>
          <m:t>=</m:t>
        </m:r>
        <m:r>
          <m:t>13</m:t>
        </m:r>
        <m:r>
          <m:rPr>
            <m:sty m:val="p"/>
          </m:rPr>
          <m:t>…</m:t>
        </m:r>
        <m:r>
          <m:t>91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…</m:t>
        </m:r>
        <m:r>
          <m:t>18</m:t>
        </m:r>
      </m:oMath>
      <w:r>
        <w:t xml:space="preserve">), with the kernel-to-</w:t>
      </w:r>
      <m:oMath>
        <m:r>
          <m:t>σ</m:t>
        </m:r>
      </m:oMath>
      <w:r>
        <w:t xml:space="preserve"> </w:t>
      </w:r>
      <w:r>
        <w:t xml:space="preserve">rule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⌈</m:t>
        </m:r>
        <m:r>
          <m:t>2.5</m:t>
        </m:r>
        <m:r>
          <m:t>σ</m:t>
        </m:r>
        <m:r>
          <m:rPr>
            <m:sty m:val="p"/>
          </m:rPr>
          <m:t>⌉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so the kernel always captures the</w:t>
      </w:r>
      <w:r>
        <w:t xml:space="preserve"> </w:t>
      </w:r>
      <m:oMath>
        <m:r>
          <m:t>2.5</m:t>
        </m:r>
        <m:r>
          <m:t>σ</m:t>
        </m:r>
      </m:oMath>
      <w:r>
        <w:t xml:space="preserve"> </w:t>
      </w:r>
      <w:r>
        <w:t xml:space="preserve">Gaussian footprint.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Optuna freeze.</w:t>
      </w:r>
      <w:r>
        <w:t xml:space="preserve"> </w:t>
      </w:r>
      <w:r>
        <w:t xml:space="preserve">The preliminary plan reserved a per-(phase,</w:t>
      </w:r>
      <w:r>
        <w:t xml:space="preserve"> </w:t>
      </w:r>
      <w:r>
        <w:t xml:space="preserve">cell) hyperparameter sweep. The final spec freezes the Optuna L3</w:t>
      </w:r>
      <w:r>
        <w:t xml:space="preserve"> </w:t>
      </w:r>
      <w:r>
        <w:t xml:space="preserve">winner per (model, dataset) and reuses it across every level and</w:t>
      </w:r>
      <w:r>
        <w:t xml:space="preserve"> </w:t>
      </w:r>
      <w:r>
        <w:t xml:space="preserve">every axis. The change saves</w:t>
      </w:r>
      <w:r>
        <w:t xml:space="preserve"> </w:t>
      </w:r>
      <m:oMath>
        <m:r>
          <m:rPr>
            <m:sty m:val="p"/>
          </m:rPr>
          <m:t>∼</m:t>
        </m:r>
        <m:r>
          <m:t>200</m:t>
        </m:r>
      </m:oMath>
      <w:r>
        <w:t xml:space="preserve"> </w:t>
      </w:r>
      <w:r>
        <w:t xml:space="preserve">GPU-hours and removes a</w:t>
      </w:r>
      <w:r>
        <w:t xml:space="preserve"> </w:t>
      </w:r>
      <w:r>
        <w:t xml:space="preserve">per-phase confound from the cross-phase comparison.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Multi-seed audit.</w:t>
      </w:r>
      <w:r>
        <w:t xml:space="preserve"> </w:t>
      </w:r>
      <w:r>
        <w:t xml:space="preserve">The preliminary spec used a single seed</w:t>
      </w:r>
      <w:r>
        <w:t xml:space="preserve"> </w:t>
      </w:r>
      <w:r>
        <w:t xml:space="preserve">(42). The 2026-06-01 revision added a 48-replicate audit at</w:t>
      </w:r>
      <w:r>
        <w:t xml:space="preserve"> </w:t>
      </w:r>
      <w:r>
        <w:t xml:space="preserve">seeds 43 and 44 across the 24 L3 headline cells so that the published L3</w:t>
      </w:r>
      <w:r>
        <w:t xml:space="preserve"> </w:t>
      </w:r>
      <w:r>
        <w:t xml:space="preserve">accuracies carry an explicit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bound rather than a single</w:t>
      </w:r>
      <w:r>
        <w:t xml:space="preserve"> </w:t>
      </w:r>
      <w:r>
        <w:t xml:space="preserve">point estimate.</w:t>
      </w:r>
    </w:p>
    <w:bookmarkEnd w:id="23"/>
    <w:bookmarkStart w:id="25" w:name="phases-of-the-experimental-program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Phases of the experimental program</w:t>
      </w:r>
    </w:p>
    <w:p>
      <w:pPr>
        <w:pStyle w:val="FirstParagraph"/>
      </w:pPr>
      <w:r>
        <w:t xml:space="preserve">The 402-cell campaign is partitioned into seven phases. Table</w:t>
      </w:r>
      <w:r>
        <w:t xml:space="preserve"> </w:t>
      </w:r>
      <w:hyperlink w:anchor="tab:phase_overview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summarizes each phase.</w:t>
      </w:r>
    </w:p>
    <w:bookmarkStart w:id="24" w:name="tab:phase_overview"/>
    <w:p>
      <w:pPr>
        <w:pStyle w:val="TableCaption"/>
      </w:pPr>
      <w:r>
        <w:t xml:space="preserve">Experimental phases of the 402-cell campaign. Multi-seed audit replicates are layered on top of the 24 L3 headline cells.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xperimental phases of the 402-cell campaign. Multi-seed audit replicates are layered on top of the 24 L3 headline cell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baseline (no degradation)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final_clean_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degradation, all axes at level 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final_B_L*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Single-axis isolation, others at identity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final_C_L*_&lt;axis&gt;_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Regularization recovery (T1 / T2 / T3) on Phase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final_D_T*_L*_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THz protocol simplification (sat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noise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final_B2_L*_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 without regularization, L3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final_B2nr_L3_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Single-axis under THz protocol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final_C2_L*_&lt;axis&gt;_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Multi-seed audit (seeds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43</m:t>
              </m:r>
              <m:r>
                <m:rPr>
                  <m:sty m:val="p"/>
                </m:rPr>
                <m:t>,</m:t>
              </m:r>
              <m:r>
                <m:t>44</m:t>
              </m:r>
              <m:r>
                <m:rPr>
                  <m:sty m:val="p"/>
                </m:rPr>
                <m:t>}</m:t>
              </m:r>
            </m:oMath>
            <w:r>
              <w:t xml:space="preserve">) on the 24 L3 headline cells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*_seed{43,44}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450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bookmarkEnd w:id="26"/>
    <w:bookmarkStart w:id="41" w:name="sec:desig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Engineering Design</w:t>
      </w:r>
    </w:p>
    <w:p>
      <w:pPr>
        <w:pStyle w:val="FirstParagraph"/>
      </w:pPr>
      <w:r>
        <w:t xml:space="preserve">This section documents the chosen approach in detail. The system block</w:t>
      </w:r>
      <w:r>
        <w:t xml:space="preserve"> </w:t>
      </w:r>
      <w:r>
        <w:t xml:space="preserve">diagram is shown in Figure</w:t>
      </w:r>
      <w:r>
        <w:t xml:space="preserve"> </w:t>
      </w:r>
      <w:hyperlink w:anchor="fig:system">
        <w:r>
          <w:rPr>
            <w:rStyle w:val="Hyperlink"/>
          </w:rPr>
          <w:t xml:space="preserve">1</w:t>
        </w:r>
      </w:hyperlink>
      <w:r>
        <w:t xml:space="preserve">; the degradation pipeline that</w:t>
      </w:r>
      <w:r>
        <w:t xml:space="preserve"> </w:t>
      </w:r>
      <w:r>
        <w:t xml:space="preserve">drives the experimental program is shown in Figure</w:t>
      </w:r>
      <w:r>
        <w:t xml:space="preserve"> </w:t>
      </w:r>
      <w:hyperlink w:anchor="fig:pipeline">
        <w:r>
          <w:rPr>
            <w:rStyle w:val="Hyperlink"/>
          </w:rPr>
          <w:t xml:space="preserve">2</w:t>
        </w:r>
      </w:hyperlink>
      <w:r>
        <w:t xml:space="preserve">.</w:t>
      </w:r>
    </w:p>
    <w:bookmarkStart w:id="30" w:name="fig:system"/>
    <w:p>
      <w:pPr>
        <w:pStyle w:val="CaptionedFigure"/>
      </w:pPr>
      <w:r>
        <w:drawing>
          <wp:inline>
            <wp:extent cx="5067300" cy="163499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./figures/block_diagrams/system_overview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63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block diagram. An input image from CIFAR-10 or MNIST passes through the THz-like degradation pipeline, is normalized to the ImageNet distribution, is fed to one of the three backbones, and is classified by a global-average-pooling head.</w:t>
      </w:r>
    </w:p>
    <w:bookmarkEnd w:id="30"/>
    <w:bookmarkStart w:id="34" w:name="fig:pipeline"/>
    <w:p>
      <w:pPr>
        <w:pStyle w:val="CaptionedFigure"/>
      </w:pPr>
      <w:r>
        <w:drawing>
          <wp:inline>
            <wp:extent cx="5067300" cy="1634996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./figures/block_diagrams/pipeline_overview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63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 version 2. The saturation lerp runs first so the grayscale luminance is computed from the un-degraded source. Additive noise and salt-and-pepper operate at the pre-upsample resolution; bicubic upsample spreads each stochastic sample over the kernel footprint, producing sensor-grain noise structure rather than fine pixel-level grain.</w:t>
      </w:r>
    </w:p>
    <w:bookmarkEnd w:id="34"/>
    <w:bookmarkStart w:id="35" w:name="sec:design:math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Mathematical model</w:t>
      </w:r>
    </w:p>
    <w:p>
      <w:pPr>
        <w:pStyle w:val="FirstParagraph"/>
      </w:pPr>
      <w:r>
        <w:rPr>
          <w:b/>
          <w:bCs/>
        </w:rPr>
        <w:t xml:space="preserve">Degradation operator.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×</m:t>
            </m:r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</m:sup>
        </m:sSup>
      </m:oMath>
      <w:r>
        <w:t xml:space="preserve"> </w:t>
      </w:r>
      <w:r>
        <w:t xml:space="preserve">be a clean image and let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denote the degradation</w:t>
      </w:r>
      <w:r>
        <w:t xml:space="preserve"> </w:t>
      </w:r>
      <w:r>
        <w:t xml:space="preserve">parameters: saturation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low-resolution target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noise standard deviation</w:t>
      </w:r>
      <w:r>
        <w:t xml:space="preserve"> </w:t>
      </w:r>
      <m:oMath>
        <m:sSub>
          <m:e>
            <m:r>
              <m:t>σ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blur kernel size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, blur</w:t>
      </w:r>
      <w:r>
        <w:t xml:space="preserve"> </w:t>
      </w:r>
      <w:r>
        <w:t xml:space="preserve">sigma</w:t>
      </w:r>
      <w:r>
        <w:t xml:space="preserve"> </w:t>
      </w:r>
      <m:oMath>
        <m:sSub>
          <m:e>
            <m:r>
              <m:t>σ</m:t>
            </m:r>
          </m:e>
          <m:sub>
            <m:r>
              <m:t>b</m:t>
            </m:r>
          </m:sub>
        </m:sSub>
      </m:oMath>
      <w:r>
        <w:t xml:space="preserve">, and salt-and-pepper amount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Define the</w:t>
      </w:r>
      <w:r>
        <w:t xml:space="preserve"> </w:t>
      </w:r>
      <w:r>
        <w:t xml:space="preserve">composite operator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e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</m:e>
            <m:sub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b</m:t>
                  </m:r>
                </m:sub>
              </m:sSub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p</m:t>
              </m:r>
            </m:e>
            <m:sub>
              <m:r>
                <m:t>224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N</m:t>
              </m:r>
            </m:e>
            <m:sub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n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s</m:t>
        </m:r>
        <m:r>
          <m:t> 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0.2989</m:t>
        </m:r>
        <m:r>
          <m:t> </m:t>
        </m:r>
        <m:sSub>
          <m:e>
            <m:r>
              <m:t>x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r>
          <m:t>0.5870</m:t>
        </m:r>
        <m:r>
          <m:t> </m:t>
        </m:r>
        <m:sSub>
          <m:e>
            <m:r>
              <m:t>x</m:t>
            </m:r>
          </m:e>
          <m:sub>
            <m:r>
              <m:t>G</m:t>
            </m:r>
          </m:sub>
        </m:sSub>
        <m:r>
          <m:rPr>
            <m:sty m:val="p"/>
          </m:rPr>
          <m:t>+</m:t>
        </m:r>
        <m:r>
          <m:t>0.1140</m:t>
        </m:r>
        <m:r>
          <m:t> </m:t>
        </m:r>
        <m:sSub>
          <m:e>
            <m:r>
              <m:t>x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(BT.601 luma);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n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is bilinear downsample to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sSub>
              <m:e>
                <m:r>
                  <m:t>σ</m:t>
                </m:r>
              </m:e>
              <m:sub>
                <m:r>
                  <m:t>n</m:t>
                </m:r>
              </m:sub>
            </m:sSub>
          </m:sub>
        </m:sSub>
      </m:oMath>
      <w:r>
        <w:t xml:space="preserve"> </w:t>
      </w:r>
      <w:r>
        <w:t xml:space="preserve">adds independent Gaussian noise of standard</w:t>
      </w:r>
      <w:r>
        <w:t xml:space="preserve"> </w:t>
      </w:r>
      <w:r>
        <w:t xml:space="preserve">deviation</w:t>
      </w:r>
      <w:r>
        <w:t xml:space="preserve"> </w:t>
      </w:r>
      <m:oMath>
        <m:sSub>
          <m:e>
            <m:r>
              <m:t>σ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flips a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fraction of pixels to 1</w:t>
      </w:r>
      <w:r>
        <w:t xml:space="preserve"> </w:t>
      </w:r>
      <w:r>
        <w:t xml:space="preserve">and another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fraction to 0;</w:t>
      </w:r>
      <w:r>
        <w:t xml:space="preserve"> </w:t>
      </w:r>
      <m:oMath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p</m:t>
            </m:r>
          </m:e>
          <m:sub>
            <m:r>
              <m:t>224</m:t>
            </m:r>
          </m:sub>
        </m:sSub>
      </m:oMath>
      <w:r>
        <w:t xml:space="preserve"> </w:t>
      </w:r>
      <w:r>
        <w:t xml:space="preserve">is bicubic upsample</w:t>
      </w:r>
      <w:r>
        <w:t xml:space="preserve"> </w:t>
      </w:r>
      <w:r>
        <w:t xml:space="preserve">to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; and</w:t>
      </w:r>
      <w: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</m:e>
          <m:sub>
            <m:sSub>
              <m:e>
                <m:r>
                  <m:t>K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σ</m:t>
                </m:r>
              </m:e>
              <m:sub>
                <m:r>
                  <m:t>b</m:t>
                </m:r>
              </m:sub>
            </m:sSub>
          </m:sub>
        </m:sSub>
      </m:oMath>
      <w:r>
        <w:t xml:space="preserve"> </w:t>
      </w:r>
      <w:r>
        <w:t xml:space="preserve">is a separable</w:t>
      </w:r>
      <w:r>
        <w:t xml:space="preserve"> </w:t>
      </w:r>
      <w:r>
        <w:t xml:space="preserve">Gaussian blur with kernel size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 standard deviation</w:t>
      </w:r>
      <w:r>
        <w:t xml:space="preserve"> </w:t>
      </w:r>
      <m:oMath>
        <m:sSub>
          <m:e>
            <m:r>
              <m:t>σ</m:t>
            </m:r>
          </m:e>
          <m:sub>
            <m:r>
              <m:t>b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Classifier.</w:t>
      </w:r>
      <w:r>
        <w:t xml:space="preserve"> </w:t>
      </w:r>
      <w:r>
        <w:t xml:space="preserve">A backbone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produces a logit vector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t>ϕ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With label smoothing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training objective is the smoothed cross-entropy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c</m:t>
                  </m:r>
                </m:sub>
              </m:sSub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rPr>
              <m:sty m:val="p"/>
            </m:rPr>
            <m:t>(</m:t>
          </m:r>
          <m:r>
            <m:t>z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Backbones.</w:t>
      </w:r>
      <w:r>
        <w:t xml:space="preserve">The three architectures expose different inductive</w:t>
      </w:r>
      <w:r>
        <w:t xml:space="preserve"> </w:t>
      </w:r>
      <w:r>
        <w:t xml:space="preserve">biases for the low-resolution regime.</w:t>
      </w:r>
    </w:p>
    <w:p>
      <w:pPr>
        <w:pStyle w:val="BodyText"/>
      </w:pPr>
      <w:r>
        <w:t xml:space="preserve">ResNet50</w:t>
      </w:r>
      <w:r>
        <w:t xml:space="preserve"> </w:t>
      </w:r>
      <w:r>
        <w:t xml:space="preserve">(He et al. 2016)</w:t>
      </w:r>
      <w:r>
        <w:t xml:space="preserve"> </w:t>
      </w:r>
      <w:r>
        <w:t xml:space="preserve">combines features via additive identity skips: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ℓ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ℓ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ℓ</m:t>
              </m:r>
            </m:sub>
          </m:sSub>
          <m:r>
            <m:rPr>
              <m:sty m:val="p"/>
            </m:rPr>
            <m:t>;</m:t>
          </m:r>
          <m:sSub>
            <m:e>
              <m:r>
                <m:t>θ</m:t>
              </m:r>
            </m:e>
            <m:sub>
              <m:r>
                <m:t>ℓ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ℓ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summation reuses previous-layer features but collapses them into the</w:t>
      </w:r>
      <w:r>
        <w:t xml:space="preserve"> </w:t>
      </w:r>
      <w:r>
        <w:t xml:space="preserve">running representation; subtle low-level cues can be washed out when the</w:t>
      </w:r>
      <w:r>
        <w:t xml:space="preserve"> </w:t>
      </w:r>
      <w:r>
        <w:t xml:space="preserve">later residual blocks dominate.</w:t>
      </w:r>
    </w:p>
    <w:p>
      <w:pPr>
        <w:pStyle w:val="BodyText"/>
      </w:pPr>
      <w:r>
        <w:t xml:space="preserve">DenseNet121</w:t>
      </w:r>
      <w:r>
        <w:t xml:space="preserve"> </w:t>
      </w:r>
      <w:r>
        <w:t xml:space="preserve">(Huang et al. 2017)</w:t>
      </w:r>
      <w:r>
        <w:t xml:space="preserve"> </w:t>
      </w:r>
      <w:r>
        <w:t xml:space="preserve">concatenates the feature maps of every</w:t>
      </w:r>
      <w:r>
        <w:t xml:space="preserve"> </w:t>
      </w:r>
      <w:r>
        <w:t xml:space="preserve">preceding layer in the same dense block: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ℓ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ℓ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ℓ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is a BatchNorm-ReLU-Conv</w:t>
      </w:r>
      <m:oMath>
        <m:sSub>
          <m:e>
            <m:r>
              <m:t>​</m:t>
            </m:r>
          </m:e>
          <m:sub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sub>
        </m:sSub>
      </m:oMath>
      <w:r>
        <w:t xml:space="preserve"> </w:t>
      </w:r>
      <w:r>
        <w:t xml:space="preserve">composite. The</w:t>
      </w:r>
      <w:r>
        <w:t xml:space="preserve"> </w:t>
      </w:r>
      <w:r>
        <w:t xml:space="preserve">collective knowledge of every preceding layer is explicitly preserved, which</w:t>
      </w:r>
      <w:r>
        <w:t xml:space="preserve"> </w:t>
      </w:r>
      <w:r>
        <w:t xml:space="preserve">is the property the preliminary spec hypothesized would help under</w:t>
      </w:r>
      <w:r>
        <w:t xml:space="preserve"> </w:t>
      </w:r>
      <w:r>
        <w:t xml:space="preserve">information loss.</w:t>
      </w:r>
    </w:p>
    <w:p>
      <w:pPr>
        <w:pStyle w:val="BodyText"/>
      </w:pPr>
      <w:r>
        <w:t xml:space="preserve">TransNeXt-tiny</w:t>
      </w:r>
      <w:r>
        <w:t xml:space="preserve"> </w:t>
      </w:r>
      <w:r>
        <w:t xml:space="preserve">(Shi 2024)</w:t>
      </w:r>
      <w:r>
        <w:t xml:space="preserve"> </w:t>
      </w:r>
      <w:r>
        <w:t xml:space="preserve">uses pixel-focused attention with</w:t>
      </w:r>
      <w:r>
        <w:t xml:space="preserve"> </w:t>
      </w:r>
      <w:r>
        <w:t xml:space="preserve">foveal and peripheral kernels: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t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focal</m:t>
                  </m:r>
                </m:sub>
              </m:sSub>
            </m:e>
          </m:d>
          <m:r>
            <m:t>V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focal</m:t>
            </m:r>
          </m:sub>
        </m:sSub>
      </m:oMath>
      <w:r>
        <w:t xml:space="preserve"> </w:t>
      </w:r>
      <w:r>
        <w:t xml:space="preserve">is a window-shaped mask that down-weights all but</w:t>
      </w:r>
      <w:r>
        <w:t xml:space="preserve"> </w:t>
      </w:r>
      <w:r>
        <w:t xml:space="preserve">the nearest neighbors of each query, while a parallel global pooling stream</w:t>
      </w:r>
      <w:r>
        <w:t xml:space="preserve"> </w:t>
      </w:r>
      <w:r>
        <w:t xml:space="preserve">contributes a coarse-grained peripheral signal. The biomimetic prior is</w:t>
      </w:r>
      <w:r>
        <w:t xml:space="preserve"> </w:t>
      </w:r>
      <w:r>
        <w:t xml:space="preserve">designed to retain accuracy when the global shape is corrupted but local</w:t>
      </w:r>
      <w:r>
        <w:t xml:space="preserve"> </w:t>
      </w:r>
      <w:r>
        <w:t xml:space="preserve">texture is partially preserved.</w:t>
      </w:r>
    </w:p>
    <w:bookmarkEnd w:id="35"/>
    <w:bookmarkStart w:id="36" w:name="sec:design:psnr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Image-quality metrics</w:t>
      </w:r>
    </w:p>
    <w:p>
      <w:pPr>
        <w:pStyle w:val="FirstParagraph"/>
      </w:pPr>
      <w:r>
        <w:t xml:space="preserve">Each degradation pipeline is anchored to a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M</m:t>
        </m:r>
      </m:oMath>
      <w:r>
        <w:t xml:space="preserve"> </w:t>
      </w:r>
      <w:r>
        <w:t xml:space="preserve">probe so that cross-phase comparisons sit on a physical scale.</w:t>
      </w:r>
    </w:p>
    <w:p>
      <w:pPr>
        <w:pStyle w:val="BodyText"/>
      </w:pPr>
      <w:r>
        <w:rPr>
          <w:b/>
          <w:bCs/>
        </w:rPr>
        <w:t xml:space="preserve">PSNR</w:t>
      </w:r>
      <w:r>
        <w:t xml:space="preserve"> </w:t>
      </w:r>
      <w:r>
        <w:t xml:space="preserve">(Huynh-Thu and Ghanbari 2008)</w:t>
      </w:r>
      <w:r>
        <w:t xml:space="preserve"> </w:t>
      </w:r>
      <w:r>
        <w:t xml:space="preserve">between a reference image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</w:t>
      </w:r>
      <w:r>
        <w:t xml:space="preserve"> </w:t>
      </w:r>
      <w:r>
        <w:t xml:space="preserve">degraded image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t>ϕ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both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×</m:t>
            </m:r>
            <m:r>
              <m:t>224</m:t>
            </m:r>
            <m:r>
              <m:rPr>
                <m:sty m:val="p"/>
              </m:rPr>
              <m:t>×</m:t>
            </m:r>
            <m:r>
              <m:t>224</m:t>
            </m:r>
          </m:sup>
        </m:sSup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224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SSIM</w:t>
      </w:r>
      <w:r>
        <w:t xml:space="preserve"> </w:t>
      </w:r>
      <w:r>
        <w:t xml:space="preserve">(Wang et al. 2004)</w:t>
      </w:r>
      <w:r>
        <w:t xml:space="preserve"> </w:t>
      </w:r>
      <w:r>
        <w:t xml:space="preserve">is the structural similarity index. For</w:t>
      </w:r>
      <w:r>
        <w:t xml:space="preserve"> </w:t>
      </w:r>
      <w:r>
        <w:t xml:space="preserve">two local patches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u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v</m:t>
            </m:r>
          </m:sub>
        </m:sSub>
      </m:oMath>
      <w:r>
        <w:t xml:space="preserve">, variances</w:t>
      </w:r>
      <w:r>
        <w:t xml:space="preserve"> </w:t>
      </w:r>
      <m:oMath>
        <m:sSubSup>
          <m:e>
            <m:r>
              <m:t>σ</m:t>
            </m:r>
          </m:e>
          <m:sub>
            <m:r>
              <m:t>u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v</m:t>
            </m:r>
          </m:sub>
          <m:sup>
            <m:r>
              <m:t>2</m:t>
            </m:r>
          </m:sup>
        </m:sSubSup>
      </m:oMath>
      <w:r>
        <w:t xml:space="preserve">, and covariance</w:t>
      </w:r>
      <w:r>
        <w:t xml:space="preserve"> </w:t>
      </w:r>
      <m:oMath>
        <m:sSub>
          <m:e>
            <m:r>
              <m:t>σ</m:t>
            </m:r>
          </m:e>
          <m:sub>
            <m:r>
              <m:t>u</m:t>
            </m:r>
            <m:r>
              <m:t>v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r>
                    <m:t>u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σ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sSubSup>
                <m:e>
                  <m:r>
                    <m:t>μ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μ</m:t>
                  </m:r>
                </m:e>
                <m:sub>
                  <m:r>
                    <m:t>v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σ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σ</m:t>
                  </m:r>
                </m:e>
                <m:sub>
                  <m:r>
                    <m:t>v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small stabilizers; the full-image score is the spatial mean</w:t>
      </w:r>
      <w:r>
        <w:t xml:space="preserve"> </w:t>
      </w:r>
      <w:r>
        <w:t xml:space="preserve">over an</w:t>
      </w:r>
      <w:r>
        <w:t xml:space="preserve"> </w:t>
      </w:r>
      <m:oMath>
        <m:r>
          <m:t>11</m:t>
        </m:r>
        <m:r>
          <m:rPr>
            <m:sty m:val="p"/>
          </m:rPr>
          <m:t>×</m:t>
        </m:r>
        <m:r>
          <m:t>11</m:t>
        </m:r>
      </m:oMath>
      <w:r>
        <w:t xml:space="preserve"> </w:t>
      </w:r>
      <w:r>
        <w:t xml:space="preserve">Gaussian window. The implementation uses</w:t>
      </w:r>
      <w:r>
        <w:t xml:space="preserve"> </w:t>
      </w:r>
      <w:r>
        <w:rPr>
          <w:rStyle w:val="VerbatimChar"/>
        </w:rPr>
        <w:t xml:space="preserve">torchmetrics.image.StructuralSimilarityIndexMeasure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data_range = 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Reference construction.</w:t>
      </w:r>
      <w:r>
        <w:t xml:space="preserve">The PSNR / SSIM reference is the</w:t>
      </w:r>
      <w:r>
        <w:t xml:space="preserve"> </w:t>
      </w:r>
      <w:r>
        <w:t xml:space="preserve">input image upsampled to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by bilinear interpolation. The</w:t>
      </w:r>
      <w:r>
        <w:t xml:space="preserve"> </w:t>
      </w:r>
      <w:r>
        <w:t xml:space="preserve">choice matches what a hypothetical clean-image classifier would see if the</w:t>
      </w:r>
      <w:r>
        <w:t xml:space="preserve"> </w:t>
      </w:r>
      <w:r>
        <w:t xml:space="preserve">degradation pipeline were short-circuited; it does not include the</w:t>
      </w:r>
      <w:r>
        <w:t xml:space="preserve"> </w:t>
      </w:r>
      <w:r>
        <w:t xml:space="preserve">saturation lerp, so the measurements isolate the spatial loss from the</w:t>
      </w:r>
      <w:r>
        <w:t xml:space="preserve"> </w:t>
      </w:r>
      <w:r>
        <w:t xml:space="preserve">color loss. Both choices are documented in the figure captions in</w:t>
      </w:r>
      <w:r>
        <w:t xml:space="preserve"> </w:t>
      </w:r>
      <w:r>
        <w:t xml:space="preserve">Section</w:t>
      </w:r>
      <w:r>
        <w:t xml:space="preserve"> </w:t>
      </w:r>
      <w:hyperlink w:anchor="sec:tes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so the reader can interpret the absolute scale</w:t>
      </w:r>
      <w:r>
        <w:t xml:space="preserve"> </w:t>
      </w:r>
      <w:r>
        <w:t xml:space="preserve">correctly.</w:t>
      </w:r>
    </w:p>
    <w:p>
      <w:pPr>
        <w:pStyle w:val="BodyText"/>
      </w:pPr>
      <w:r>
        <w:rPr>
          <w:b/>
          <w:bCs/>
        </w:rPr>
        <w:t xml:space="preserve">Probe protocol.</w:t>
      </w:r>
      <w:r>
        <w:t xml:space="preserve">For each pipeline the probe iterates over</w:t>
      </w:r>
      <w:r>
        <w:t xml:space="preserve"> </w:t>
      </w:r>
      <w:r>
        <w:t xml:space="preserve">the first 256 validation indices, applies the pipeline with seed offset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(chosen disjoint from the training and validation streams),</w:t>
      </w:r>
      <w:r>
        <w:t xml:space="preserve"> </w:t>
      </w:r>
      <w:r>
        <w:t xml:space="preserve">and aggregates the mean and standard deviation. The 256-sample size</w:t>
      </w:r>
      <w:r>
        <w:t xml:space="preserve"> </w:t>
      </w:r>
      <w:r>
        <w:t xml:space="preserve">balances probe runtime against the standard error of the mean (below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dB on the L3 pipelines).</w:t>
      </w:r>
    </w:p>
    <w:bookmarkEnd w:id="36"/>
    <w:bookmarkStart w:id="37" w:name="sec:design:optim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Optimizer and learning-rate schedule</w:t>
      </w:r>
    </w:p>
    <w:p>
      <w:pPr>
        <w:pStyle w:val="FirstParagraph"/>
      </w:pPr>
      <w:r>
        <w:t xml:space="preserve">All cells train with AdamW</w:t>
      </w:r>
      <w:r>
        <w:t xml:space="preserve"> </w:t>
      </w:r>
      <w:r>
        <w:t xml:space="preserve">(Loshchilov and Hutter 2019a)</w:t>
      </w:r>
      <w:r>
        <w:t xml:space="preserve"> </w:t>
      </w:r>
      <w:r>
        <w:t xml:space="preserve">under decoupled</w:t>
      </w:r>
      <w:r>
        <w:t xml:space="preserve"> </w:t>
      </w:r>
      <w:r>
        <w:t xml:space="preserve">weight decay. With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loss gradient at step</w:t>
      </w:r>
      <w:r>
        <w:t xml:space="preserve"> </w:t>
      </w:r>
      <m:oMath>
        <m:r>
          <m:t>t</m:t>
        </m:r>
      </m:oMath>
      <w:r>
        <w:t xml:space="preserve">, the running first and second moment estimates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parameter update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η</m:t>
              </m:r>
            </m:e>
            <m:sub>
              <m:r>
                <m:t>t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t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ϵ</m:t>
                  </m:r>
                </m:den>
              </m:f>
              <m:r>
                <m:rPr>
                  <m:sty m:val="p"/>
                </m:rPr>
                <m:t>+</m:t>
              </m:r>
              <m:r>
                <m:t>λ</m:t>
              </m:r>
              <m:r>
                <m:t> </m:t>
              </m:r>
              <m:sSub>
                <m:e>
                  <m:r>
                    <m:t>θ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0.999</m:t>
        </m:r>
      </m:oMath>
      <w:r>
        <w:t xml:space="preserve">,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, and weight</w:t>
      </w:r>
      <w:r>
        <w:t xml:space="preserve"> </w:t>
      </w:r>
      <w:r>
        <w:t xml:space="preserve">decay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{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,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(CNN / TransNeXt).</w:t>
      </w:r>
      <w:r>
        <w:t xml:space="preserve"> </w:t>
      </w:r>
      <w:r>
        <w:t xml:space="preserve">Gradient clipping caps the global norm at</w:t>
      </w:r>
      <w:r>
        <w:t xml:space="preserve"> </w:t>
      </w:r>
      <m:oMath>
        <m:r>
          <m:t>1.0</m:t>
        </m:r>
      </m:oMath>
      <w:r>
        <w:t xml:space="preserve">.</w:t>
      </w:r>
    </w:p>
    <w:p>
      <w:pPr>
        <w:pStyle w:val="BodyText"/>
      </w:pPr>
      <w:r>
        <w:t xml:space="preserve">The learning rate</w:t>
      </w:r>
      <w:r>
        <w:t xml:space="preserve"> </w:t>
      </w:r>
      <m:oMath>
        <m:sSub>
          <m:e>
            <m:r>
              <m:t>η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follows a cosine annealing schedule</w:t>
      </w:r>
      <w:r>
        <w:t xml:space="preserve"> </w:t>
      </w:r>
      <w:r>
        <w:t xml:space="preserve">(Loshchilov and Hutter 2017)</w:t>
      </w:r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over a</w:t>
      </w:r>
      <w:r>
        <w:t xml:space="preserve"> </w:t>
      </w:r>
      <w:r>
        <w:t xml:space="preserve">total budget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training steps: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r>
            <m:rPr>
              <m:sty m:val="p"/>
            </m:rPr>
            <m:t>(</m:t>
          </m:r>
          <m:sSub>
            <m:e>
              <m:r>
                <m:t>η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η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)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T</m:t>
                      </m:r>
                    </m:den>
                  </m:f>
                  <m:r>
                    <m:t> </m:t>
                  </m:r>
                  <m:r>
                    <m:t>π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Differential learning rates apply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separately to the</w:t>
      </w:r>
      <w:r>
        <w:t xml:space="preserve"> </w:t>
      </w:r>
      <w:r>
        <w:t xml:space="preserve">classifier head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on CNNs,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on TransNeXt-tiny)</w:t>
      </w:r>
      <w:r>
        <w:t xml:space="preserve"> </w:t>
      </w:r>
      <w:r>
        <w:t xml:space="preserve">and to the backbone parameters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on CNNs,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r>
        <w:t xml:space="preserve">TransNeXt-tiny). Training uses bf16-mixed precision on the RTX 5070 host</w:t>
      </w:r>
      <w:r>
        <w:t xml:space="preserve"> </w:t>
      </w:r>
      <w:r>
        <w:t xml:space="preserve">and runs for at most 60 epochs with early stopping at patience 10 on</w:t>
      </w:r>
      <w:r>
        <w:t xml:space="preserve"> </w:t>
      </w:r>
      <w:r>
        <w:t xml:space="preserve">validation accuracy.</w:t>
      </w:r>
    </w:p>
    <w:bookmarkEnd w:id="37"/>
    <w:bookmarkStart w:id="38" w:name="sec:design:ece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Calibration metric</w:t>
      </w:r>
    </w:p>
    <w:p>
      <w:pPr>
        <w:pStyle w:val="FirstParagraph"/>
      </w:pPr>
      <w:r>
        <w:t xml:space="preserve">Expected calibration error (ECE)</w:t>
      </w:r>
      <w:r>
        <w:t xml:space="preserve"> </w:t>
      </w:r>
      <w:r>
        <w:t xml:space="preserve">(Naeini et al. 2015; Guo et al. 2017)</w:t>
      </w:r>
      <w:r>
        <w:t xml:space="preserve"> </w:t>
      </w:r>
      <w:r>
        <w:t xml:space="preserve">bins the predicted probabilities into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equal-width bins and computes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N</m:t>
                  </m:r>
                </m:den>
              </m:f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the set of predictions whose top-1 probability falls in bin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empirical accuracy of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f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mean predicted probability in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 A</w:t>
      </w:r>
      <w:r>
        <w:t xml:space="preserve"> </w:t>
      </w:r>
      <w:r>
        <w:t xml:space="preserve">well-calibrated model has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38"/>
    <w:bookmarkStart w:id="39" w:name="sec:design:phase_d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Regularization treatments (Phase D)</w:t>
      </w:r>
    </w:p>
    <w:p>
      <w:pPr>
        <w:pStyle w:val="FirstParagraph"/>
      </w:pPr>
      <w:r>
        <w:t xml:space="preserve">Phase D layers three regularization treatments on top of the frozen</w:t>
      </w:r>
      <w:r>
        <w:t xml:space="preserve"> </w:t>
      </w:r>
      <w:r>
        <w:t xml:space="preserve">Phase B Optuna winners:</w:t>
      </w:r>
    </w:p>
    <w:p>
      <w:pPr>
        <w:pStyle w:val="BodyText"/>
      </w:pPr>
      <w:r>
        <w:rPr>
          <w:b/>
          <w:bCs/>
        </w:rPr>
        <w:t xml:space="preserve">T1.</w:t>
      </w:r>
      <w:r>
        <w:t xml:space="preserve">Dropout (CNN, rate 0.2) or stochastic-depth drop-path</w:t>
      </w:r>
      <w:r>
        <w:t xml:space="preserve"> </w:t>
      </w:r>
      <w:r>
        <w:t xml:space="preserve">(Huang et al. 2016)</w:t>
      </w:r>
      <w:r>
        <w:t xml:space="preserve"> </w:t>
      </w:r>
      <w:r>
        <w:t xml:space="preserve">(TransNeXt, rate 0.2). Architectural regularization</w:t>
      </w:r>
      <w:r>
        <w:t xml:space="preserve"> </w:t>
      </w:r>
      <w:r>
        <w:t xml:space="preserve">only; no label-side intervention.</w:t>
      </w:r>
    </w:p>
    <w:p>
      <w:pPr>
        <w:pStyle w:val="BodyText"/>
      </w:pPr>
      <w:r>
        <w:rPr>
          <w:b/>
          <w:bCs/>
        </w:rPr>
        <w:t xml:space="preserve">T2.</w:t>
      </w:r>
      <w:r>
        <w:t xml:space="preserve">mixup</w:t>
      </w:r>
      <w:r>
        <w:t xml:space="preserve"> </w:t>
      </w:r>
      <w:r>
        <w:t xml:space="preserve">(Zhang et al. 2018)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0.2</m:t>
        </m:r>
      </m:oMath>
      <w:r>
        <w:t xml:space="preserve">;</w:t>
      </w:r>
      <w:r>
        <w:t xml:space="preserve"> </w:t>
      </w:r>
      <w:r>
        <w:t xml:space="preserve">label-mixing only.</w:t>
      </w:r>
    </w:p>
    <w:p>
      <w:pPr>
        <w:pStyle w:val="BodyText"/>
      </w:pPr>
      <w:r>
        <w:rPr>
          <w:b/>
          <w:bCs/>
        </w:rPr>
        <w:t xml:space="preserve">T3.</w:t>
      </w:r>
      <w:r>
        <w:t xml:space="preserve">The combination: dropout (or drop-path)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mixup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CutMix</w:t>
      </w:r>
      <w:r>
        <w:t xml:space="preserve"> </w:t>
      </w:r>
      <w:r>
        <w:t xml:space="preserve">(Yun et al. 2019)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1.0</m:t>
        </m:r>
      </m:oMath>
      <w:r>
        <w:t xml:space="preserve">.</w:t>
      </w:r>
      <w:r>
        <w:t xml:space="preserve"> </w:t>
      </w:r>
      <w:r>
        <w:t xml:space="preserve">The kitchen-sink combination defines the upper bound of training-side</w:t>
      </w:r>
      <w:r>
        <w:t xml:space="preserve"> </w:t>
      </w:r>
      <w:r>
        <w:t xml:space="preserve">recovery measurable inside the design space.</w:t>
      </w:r>
    </w:p>
    <w:bookmarkEnd w:id="39"/>
    <w:bookmarkStart w:id="40" w:name="sec:design:sw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Software architecture</w:t>
      </w:r>
    </w:p>
    <w:p>
      <w:pPr>
        <w:pStyle w:val="FirstParagraph"/>
      </w:pPr>
      <w:r>
        <w:t xml:space="preserve">The implementation is layered: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src/data/</w:t>
      </w:r>
      <w:r>
        <w:t xml:space="preserve"> </w:t>
      </w:r>
      <w:r>
        <w:t xml:space="preserve">hosts the single source of truth for the</w:t>
      </w:r>
      <w:r>
        <w:t xml:space="preserve"> </w:t>
      </w:r>
      <w:r>
        <w:t xml:space="preserve">degradation curve (</w:t>
      </w:r>
      <w:r>
        <w:rPr>
          <w:rStyle w:val="VerbatimChar"/>
        </w:rPr>
        <w:t xml:space="preserve">degradation_levels.py</w:t>
      </w:r>
      <w:r>
        <w:t xml:space="preserve">) and the operator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degrade.py</w:t>
      </w:r>
      <w:r>
        <w:t xml:space="preserve">). Both modules are imported verbatim into the</w:t>
      </w:r>
      <w:r>
        <w:t xml:space="preserve"> </w:t>
      </w:r>
      <w:r>
        <w:t xml:space="preserve">training and the image-quality probe paths, which is the property</w:t>
      </w:r>
      <w:r>
        <w:t xml:space="preserve"> </w:t>
      </w:r>
      <w:r>
        <w:t xml:space="preserve">that guarantees the measured PSNR / SSIM correspond to the pixels</w:t>
      </w:r>
      <w:r>
        <w:t xml:space="preserve"> </w:t>
      </w:r>
      <w:r>
        <w:t xml:space="preserve">the model actually sees.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src/lightning/</w:t>
      </w:r>
      <w:r>
        <w:t xml:space="preserve"> </w:t>
      </w:r>
      <w:r>
        <w:t xml:space="preserve">hosts the training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THzClassifier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THzDataModule</w:t>
      </w:r>
      <w:r>
        <w:t xml:space="preserve">) built on PyTorch</w:t>
      </w:r>
      <w:r>
        <w:t xml:space="preserve"> </w:t>
      </w:r>
      <w:r>
        <w:t xml:space="preserve">Lightning</w:t>
      </w:r>
      <w:r>
        <w:t xml:space="preserve"> </w:t>
      </w:r>
      <w:r>
        <w:t xml:space="preserve">(</w:t>
      </w:r>
      <w:r>
        <w:t xml:space="preserve">Falcon et al.</w:t>
      </w:r>
      <w:r>
        <w:t xml:space="preserve"> </w:t>
      </w:r>
      <w:r>
        <w:t xml:space="preserve">2019)</w:t>
      </w:r>
      <w:r>
        <w:t xml:space="preserve">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src/models/</w:t>
      </w:r>
      <w:r>
        <w:t xml:space="preserve"> </w:t>
      </w:r>
      <w:r>
        <w:t xml:space="preserve">hosts the backbone wrappers; the TransNeXt</w:t>
      </w:r>
      <w:r>
        <w:t xml:space="preserve"> </w:t>
      </w:r>
      <w:r>
        <w:t xml:space="preserve">weights are auto-downloaded from the public checkpoint and cached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artifacts/weights/</w:t>
      </w:r>
      <w:r>
        <w:t xml:space="preserve">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scripts/</w:t>
      </w:r>
      <w:r>
        <w:t xml:space="preserve"> </w:t>
      </w:r>
      <w:r>
        <w:t xml:space="preserve">hosts the campaign drivers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run_all_phases.py</w:t>
      </w:r>
      <w:r>
        <w:t xml:space="preserve">) and the diagnostics builders.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Final_Report/scripts/</w:t>
      </w:r>
      <w:r>
        <w:t xml:space="preserve"> </w:t>
      </w:r>
      <w:r>
        <w:t xml:space="preserve">hosts the figure / table / sample</w:t>
      </w:r>
      <w:r>
        <w:t xml:space="preserve"> </w:t>
      </w:r>
      <w:r>
        <w:t xml:space="preserve">generators that produce this report. Every artifact under</w:t>
      </w:r>
      <w:r>
        <w:t xml:space="preserve"> </w:t>
      </w:r>
      <w:r>
        <w:rPr>
          <w:rStyle w:val="VerbatimChar"/>
        </w:rPr>
        <w:t xml:space="preserve">Final_Report/</w:t>
      </w:r>
      <w:r>
        <w:t xml:space="preserve"> </w:t>
      </w:r>
      <w:r>
        <w:t xml:space="preserve">is reproducible by running</w:t>
      </w:r>
      <w:r>
        <w:t xml:space="preserve"> </w:t>
      </w:r>
      <w:r>
        <w:rPr>
          <w:rStyle w:val="VerbatimChar"/>
        </w:rPr>
        <w:t xml:space="preserve">python Final_Report/scripts/build_*.py</w:t>
      </w:r>
      <w:r>
        <w:t xml:space="preserve"> </w:t>
      </w:r>
      <w:r>
        <w:t xml:space="preserve">from a clean</w:t>
      </w:r>
      <w:r>
        <w:t xml:space="preserve"> </w:t>
      </w:r>
      <w:r>
        <w:t xml:space="preserve">checkout.</w:t>
      </w:r>
    </w:p>
    <w:bookmarkEnd w:id="40"/>
    <w:bookmarkEnd w:id="41"/>
    <w:bookmarkStart w:id="215" w:name="sec:test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Final Acceptance Tests</w:t>
      </w:r>
    </w:p>
    <w:p>
      <w:pPr>
        <w:pStyle w:val="FirstParagraph"/>
      </w:pPr>
      <w:r>
        <w:t xml:space="preserve">This section reports the measured performance of the delivered product</w:t>
      </w:r>
      <w:r>
        <w:t xml:space="preserve"> </w:t>
      </w:r>
      <w:r>
        <w:t xml:space="preserve">against every relevant metric. Every value comes from a frozen training run</w:t>
      </w:r>
      <w:r>
        <w:t xml:space="preserve"> </w:t>
      </w:r>
      <w:r>
        <w:t xml:space="preserve">recorded under</w:t>
      </w:r>
      <w:r>
        <w:t xml:space="preserve"> </w:t>
      </w:r>
      <w:r>
        <w:rPr>
          <w:rStyle w:val="VerbatimChar"/>
        </w:rPr>
        <w:t xml:space="preserve">runs/final/</w:t>
      </w:r>
      <w:r>
        <w:t xml:space="preserve"> </w:t>
      </w:r>
      <w:r>
        <w:t xml:space="preserve">and aggregated by</w:t>
      </w:r>
      <w:r>
        <w:t xml:space="preserve"> </w:t>
      </w:r>
      <w:r>
        <w:rPr>
          <w:rStyle w:val="VerbatimChar"/>
        </w:rPr>
        <w:t xml:space="preserve">artifacts/Final_Exp.json</w:t>
      </w:r>
      <w:r>
        <w:t xml:space="preserve"> </w:t>
      </w:r>
      <w:r>
        <w:t xml:space="preserve">(schema version 3). No values are</w:t>
      </w:r>
      <w:r>
        <w:t xml:space="preserve"> </w:t>
      </w:r>
      <w:r>
        <w:t xml:space="preserve">synthesized or interpolated.</w:t>
      </w:r>
    </w:p>
    <w:bookmarkStart w:id="43" w:name="test-rig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Test rig</w:t>
      </w:r>
    </w:p>
    <w:p>
      <w:pPr>
        <w:pStyle w:val="FirstParagraph"/>
      </w:pPr>
      <w:r>
        <w:t xml:space="preserve">The campaign ran on a single workstation with the configuration in</w:t>
      </w:r>
      <w:r>
        <w:t xml:space="preserve"> </w:t>
      </w:r>
      <w:r>
        <w:t xml:space="preserve">Table</w:t>
      </w:r>
      <w:r>
        <w:t xml:space="preserve"> </w:t>
      </w:r>
      <w:hyperlink w:anchor="tab:rig">
        <w:r>
          <w:rPr>
            <w:rStyle w:val="Hyperlink"/>
          </w:rPr>
          <w:t xml:space="preserve">5</w:t>
        </w:r>
      </w:hyperlink>
      <w:r>
        <w:t xml:space="preserve">. Determinism is guarded by</w:t>
      </w:r>
      <w:r>
        <w:t xml:space="preserve"> </w:t>
      </w:r>
      <w:r>
        <w:rPr>
          <w:rStyle w:val="VerbatimChar"/>
        </w:rPr>
        <w:t xml:space="preserve">pl.seed_everything(42, workers=True)</w:t>
      </w:r>
      <w:r>
        <w:t xml:space="preserve"> </w:t>
      </w:r>
      <w:r>
        <w:t xml:space="preserve">for the canonical seed and by</w:t>
      </w:r>
      <w:r>
        <w:t xml:space="preserve"> </w:t>
      </w:r>
      <w:r>
        <w:t xml:space="preserve">the per-sample seed offset for the validation split.</w:t>
      </w:r>
    </w:p>
    <w:bookmarkStart w:id="42" w:name="tab:rig"/>
    <w:p>
      <w:pPr>
        <w:pStyle w:val="TableCaption"/>
      </w:pPr>
      <w:r>
        <w:t xml:space="preserve">Test rig and software stack.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st rig and software stack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 5070 (Blackwell, sm_120, 12 GB)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bf16-mixed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dataloader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(Windows)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2.11</w:t>
            </w:r>
            <w:r>
              <w:t xml:space="preserve"> </w:t>
            </w:r>
            <w:r>
              <w:t xml:space="preserve">(</w:t>
            </w:r>
            <w:r>
              <w:t xml:space="preserve">Paszke et al.</w:t>
            </w:r>
            <w:r>
              <w:t xml:space="preserve"> </w:t>
            </w:r>
            <w:r>
              <w:t xml:space="preserve">2019)</w:t>
            </w:r>
            <w:r>
              <w:t xml:space="preserve"> </w:t>
            </w:r>
            <w:r>
              <w:t xml:space="preserve">+ Lightning 2.x</w:t>
            </w:r>
            <w:r>
              <w:t xml:space="preserve"> </w:t>
            </w:r>
            <w:r>
              <w:t xml:space="preserve">(</w:t>
            </w:r>
            <w:r>
              <w:t xml:space="preserve">Falcon et al.</w:t>
            </w:r>
            <w:r>
              <w:t xml:space="preserve"> </w:t>
            </w:r>
            <w:r>
              <w:t xml:space="preserve">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torchmetrics</w:t>
            </w:r>
            <w:r>
              <w:t xml:space="preserve"> </w:t>
            </w:r>
            <w:r>
              <w:t xml:space="preserve">PSNR / SSIM,</w:t>
            </w:r>
            <w:r>
              <w:t xml:space="preserve"> </w:t>
            </w:r>
            <w:r>
              <w:rPr>
                <w:rStyle w:val="VerbatimChar"/>
              </w:rPr>
              <w:t xml:space="preserve">data_range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Determinism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src/tests/test_degradation_determinism.py</w:t>
            </w:r>
          </w:p>
        </w:tc>
      </w:tr>
    </w:tbl>
    <w:bookmarkEnd w:id="42"/>
    <w:bookmarkEnd w:id="43"/>
    <w:bookmarkStart w:id="61" w:name="sec:tests:iq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Per-pipeline image quality</w:t>
      </w:r>
    </w:p>
    <w:p>
      <w:pPr>
        <w:pStyle w:val="FirstParagraph"/>
      </w:pPr>
      <w:r>
        <w:t xml:space="preserve">Table</w:t>
      </w:r>
      <w:r>
        <w:t xml:space="preserve"> </w:t>
      </w:r>
      <w:hyperlink w:anchor="tab:pipeline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reports the mean PSNR and SSIM for every</w:t>
      </w:r>
      <w:r>
        <w:t xml:space="preserve"> </w:t>
      </w:r>
      <w:r>
        <w:t xml:space="preserve">degradation pipeline that appears in the experiments. The values are</w:t>
      </w:r>
      <w:r>
        <w:t xml:space="preserve"> </w:t>
      </w:r>
      <w:r>
        <w:t xml:space="preserve">identical across same-pipeline cells by construction, so Phase D rows</w:t>
      </w:r>
      <w:r>
        <w:t xml:space="preserve"> </w:t>
      </w:r>
      <w:r>
        <w:t xml:space="preserve">inherit the Phase B PSNR / SSIM at the same level. Figures</w:t>
      </w:r>
      <w:r>
        <w:t xml:space="preserve"> </w:t>
      </w:r>
      <w:hyperlink w:anchor="fig:samples_B_cifar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and</w:t>
      </w:r>
      <w:r>
        <w:t xml:space="preserve"> </w:t>
      </w:r>
      <w:hyperlink w:anchor="fig:samples_C_cifar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show the visual</w:t>
      </w:r>
      <w:r>
        <w:t xml:space="preserve"> </w:t>
      </w:r>
      <w:r>
        <w:t xml:space="preserve">appearance of the pipelines on CIFAR-10; Figures</w:t>
      </w:r>
      <w:r>
        <w:t xml:space="preserve"> </w:t>
      </w:r>
      <w:hyperlink w:anchor="fig:samples_B_mnist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and</w:t>
      </w:r>
      <w:r>
        <w:t xml:space="preserve"> </w:t>
      </w:r>
      <w:hyperlink w:anchor="fig:samples_C_mnist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repeat the comparison on MNIST.</w:t>
      </w:r>
    </w:p>
    <w:bookmarkStart w:id="44" w:name="tab:pipelines"/>
    <w:p>
      <w:pPr>
        <w:pStyle w:val="TableCaption"/>
      </w:pPr>
      <w:r>
        <w:t xml:space="preserve">Mean PSNR and SSIM per degradation pipeline. Each value is computed over a fixed deterministic 256-sample validation subset using torchmetrics with data_range=1, sample seed offset =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, clean reference upsampled to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by bilinear interpolation.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ean PSNR and SSIM per degradation pipeline. Each value is computed over a fixed deterministic 256-sample validation subset using torchmetrics with data_range=1, sample seed offset = 2 \times 10^{7}, clean reference upsampled to 224 \times 224 by bilinear interpolation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PSNR (dB)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2.54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28.60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36.45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2.39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33.58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2.59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18.61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3.42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27.22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2.54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20.12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2.64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4.23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19.42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2.67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25.41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4.72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4.93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5.66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23.11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3.97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2.05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4.42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21.22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3.09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3.35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18.92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2.46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9.02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19.81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11.41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2.42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0.121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36.55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11.12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36.56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11.12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1.80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0.035</w:t>
            </w:r>
          </w:p>
        </w:tc>
      </w:tr>
    </w:tbl>
    <w:bookmarkEnd w:id="44"/>
    <w:bookmarkStart w:id="48" w:name="fig:samples_B_cifar"/>
    <w:p>
      <w:pPr>
        <w:pStyle w:val="CaptionedFigure"/>
      </w:pPr>
      <w:r>
        <w:drawing>
          <wp:inline>
            <wp:extent cx="5334000" cy="3475587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../figures/samples/grid_phase_B_levels_cifar1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CIFAR-10: six fixed validation examples (deterministic seed) at clean, L1 Mild, L3 Moderate, and L5 Extreme combined degradation. Class labels above each column. Rows from top to bottom: Clean, L1, L3, L5.</w:t>
      </w:r>
    </w:p>
    <w:bookmarkEnd w:id="48"/>
    <w:bookmarkStart w:id="52" w:name="fig:samples_C_cifar"/>
    <w:p>
      <w:pPr>
        <w:pStyle w:val="CaptionedFigure"/>
      </w:pPr>
      <w:r>
        <w:drawing>
          <wp:inline>
            <wp:extent cx="5334000" cy="5090076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../figures/samples/grid_phase_C_axes_L3_cifar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0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CIFAR-10: per-axis isolation at L3 (Phase C). Each row shows the same six images with only the named axis active.</w:t>
      </w:r>
    </w:p>
    <w:bookmarkEnd w:id="52"/>
    <w:bookmarkStart w:id="56" w:name="fig:samples_B_mnist"/>
    <w:p>
      <w:pPr>
        <w:pStyle w:val="CaptionedFigure"/>
      </w:pPr>
      <w:r>
        <w:drawing>
          <wp:inline>
            <wp:extent cx="5334000" cy="3475587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../figures/samples/grid_phase_B_levels_mnis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MNIST: combined degradation at L1, L3, L5 on six fixed validation examples.</w:t>
      </w:r>
    </w:p>
    <w:bookmarkEnd w:id="56"/>
    <w:bookmarkStart w:id="60" w:name="fig:samples_C_mnist"/>
    <w:p>
      <w:pPr>
        <w:pStyle w:val="CaptionedFigure"/>
      </w:pPr>
      <w:r>
        <w:drawing>
          <wp:inline>
            <wp:extent cx="5334000" cy="5090076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../figures/samples/grid_phase_C_axes_L3_mnist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0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MNIST: per-axis isolation at L3 (Phase C).</w:t>
      </w:r>
    </w:p>
    <w:bookmarkEnd w:id="60"/>
    <w:bookmarkEnd w:id="61"/>
    <w:bookmarkStart w:id="63" w:name="sec:tests:phase_a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Clean baseline accuracy (Phase A)</w:t>
      </w:r>
    </w:p>
    <w:p>
      <w:pPr>
        <w:pStyle w:val="FirstParagraph"/>
      </w:pPr>
      <w:r>
        <w:t xml:space="preserve">Table</w:t>
      </w:r>
      <w:r>
        <w:t xml:space="preserve"> </w:t>
      </w:r>
      <w:hyperlink w:anchor="tab:phase_a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reports the validation accuracy at the clean</w:t>
      </w:r>
      <w:r>
        <w:t xml:space="preserve"> </w:t>
      </w:r>
      <w:r>
        <w:t xml:space="preserve">operating point. These values are the upper bounds against which every</w:t>
      </w:r>
      <w:r>
        <w:t xml:space="preserve"> </w:t>
      </w:r>
      <w:r>
        <w:t xml:space="preserve">subsequent phase is measured.</w:t>
      </w:r>
    </w:p>
    <w:bookmarkStart w:id="62" w:name="tab:phase_a"/>
    <w:p>
      <w:pPr>
        <w:pStyle w:val="TableCaption"/>
      </w:pPr>
      <w:r>
        <w:t xml:space="preserve">Phase A clean-baseline accuracy (%) on the held-out validation split. No degradation applied; values are upper bounds for every subsequent phase.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hase A clean-baseline accuracy (%) on the held-out validation split. No degradation applied; values are upper bounds for every subsequent phas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MNIST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99.24</w:t>
            </w:r>
          </w:p>
        </w:tc>
      </w:tr>
    </w:tbl>
    <w:bookmarkEnd w:id="62"/>
    <w:bookmarkEnd w:id="63"/>
    <w:bookmarkStart w:id="72" w:name="sec:tests:phase_b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Combined-degradation accuracy (Phase B)</w:t>
      </w:r>
    </w:p>
    <w:p>
      <w:pPr>
        <w:pStyle w:val="FirstParagraph"/>
      </w:pPr>
      <w:r>
        <w:t xml:space="preserve">Phase B applies every axis simultaneously at the same level. Table</w:t>
      </w:r>
      <w:r>
        <w:t xml:space="preserve"> </w:t>
      </w:r>
      <w:hyperlink w:anchor="tab:phase_b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reports the full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accuracy block;</w:t>
      </w:r>
      <w:r>
        <w:t xml:space="preserve"> </w:t>
      </w:r>
      <w:r>
        <w:t xml:space="preserve">Figure</w:t>
      </w:r>
      <w:r>
        <w:t xml:space="preserve"> </w:t>
      </w:r>
      <w:hyperlink w:anchor="fig:acc_vs_level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plots the curves with the Phase D-T3</w:t>
      </w:r>
      <w:r>
        <w:t xml:space="preserve"> </w:t>
      </w:r>
      <w:r>
        <w:t xml:space="preserve">recovery overlay.</w:t>
      </w:r>
    </w:p>
    <w:bookmarkStart w:id="64" w:name="tab:phase_b"/>
    <w:p>
      <w:pPr>
        <w:pStyle w:val="TableCaption"/>
      </w:pPr>
      <w:r>
        <w:t xml:space="preserve">Phase B (combined degradation) validation accuracy (%). All five axes active at the same level L. Cells with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values are multi-seed audited (seeds</w:t>
      </w:r>
      <w:r>
        <w:t xml:space="preserve"> </w:t>
      </w:r>
      <m:oMath>
        <m:r>
          <m:rPr>
            <m:sty m:val="p"/>
          </m:rPr>
          <m:t>{</m:t>
        </m:r>
        <m:r>
          <m:t>42</m:t>
        </m:r>
        <m:r>
          <m:rPr>
            <m:sty m:val="p"/>
          </m:rPr>
          <m:t>,</m:t>
        </m:r>
        <m:r>
          <m:t>43</m:t>
        </m:r>
        <m:r>
          <m:rPr>
            <m:sty m:val="p"/>
          </m:rPr>
          <m:t>,</m:t>
        </m:r>
        <m:r>
          <m:t>44</m:t>
        </m:r>
        <m:r>
          <m:rPr>
            <m:sty m:val="p"/>
          </m:rPr>
          <m:t>}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hase B (combined degradation) validation accuracy (%). All five axes active at the same level L. Cells with \pm values are multi-seed audited (seeds \{42, 43, 44\}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36.31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79.17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38.54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80.79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27.48</w:t>
            </w:r>
          </w:p>
        </w:tc>
      </w:tr>
    </w:tbl>
    <w:bookmarkEnd w:id="64"/>
    <w:bookmarkStart w:id="71" w:name="fig:acc_vs_level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2613660" cy="1865049"/>
                  <wp:effectExtent b="0" l="0" r="0" t="0"/>
                  <wp:docPr descr="image" title="" id="66" name="Picture"/>
                  <a:graphic>
                    <a:graphicData uri="http://schemas.openxmlformats.org/drawingml/2006/picture">
                      <pic:pic>
                        <pic:nvPicPr>
                          <pic:cNvPr descr="../figures/curves/accuracy_vs_level_cifar10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1865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2613660" cy="1865049"/>
                  <wp:effectExtent b="0" l="0" r="0" t="0"/>
                  <wp:docPr descr="image" title="" id="69" name="Picture"/>
                  <a:graphic>
                    <a:graphicData uri="http://schemas.openxmlformats.org/drawingml/2006/picture">
                      <pic:pic>
                        <pic:nvPicPr>
                          <pic:cNvPr descr="../figures/curves/accuracy_vs_level_mnist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1865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Validation accuracy vs combined degradation level. Solid curves: Phase B (no extra regularization). Dashed curves: Phase D-T3 (T3 regularization on the same pipeline). Dotted horizontal lines: Phase A clean baseline per model.</w:t>
      </w:r>
    </w:p>
    <w:bookmarkEnd w:id="71"/>
    <w:bookmarkEnd w:id="72"/>
    <w:bookmarkStart w:id="81" w:name="sec:tests:psnr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Accuracy versus image quality</w:t>
      </w:r>
    </w:p>
    <w:p>
      <w:pPr>
        <w:pStyle w:val="FirstParagraph"/>
      </w:pPr>
      <w:r>
        <w:t xml:space="preserve">Figures</w:t>
      </w:r>
      <w:r>
        <w:t xml:space="preserve"> </w:t>
      </w:r>
      <w:hyperlink w:anchor="fig:acc_vs_psnr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and</w:t>
      </w:r>
      <w:r>
        <w:t xml:space="preserve"> </w:t>
      </w:r>
      <w:hyperlink w:anchor="fig:acc_vs_ssim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plot validation</w:t>
      </w:r>
      <w:r>
        <w:t xml:space="preserve"> </w:t>
      </w:r>
      <w:r>
        <w:t xml:space="preserve">accuracy against the per-pipeline mean PSNR and SSIM respectively. The</w:t>
      </w:r>
      <w:r>
        <w:t xml:space="preserve"> </w:t>
      </w:r>
      <w:r>
        <w:t xml:space="preserve">Spearman rank correlation is reported in each panel and is monotonically</w:t>
      </w:r>
      <w:r>
        <w:t xml:space="preserve"> </w:t>
      </w:r>
      <w:r>
        <w:t xml:space="preserve">strong on both metrics for both datasets. Accuracy and image quality</w:t>
      </w:r>
      <w:r>
        <w:t xml:space="preserve"> </w:t>
      </w:r>
      <w:r>
        <w:t xml:space="preserve">collapse together, but the slope is not unity: on CIFAR-10 the model</w:t>
      </w:r>
      <w:r>
        <w:t xml:space="preserve"> </w:t>
      </w:r>
      <w:r>
        <w:t xml:space="preserve">loses accuracy faster than SSIM, while on MNIST the two metrics track</w:t>
      </w:r>
      <w:r>
        <w:t xml:space="preserve"> </w:t>
      </w:r>
      <w:r>
        <w:t xml:space="preserve">each other closely. This corroborates the per-axis attribution in</w:t>
      </w:r>
      <w:r>
        <w:t xml:space="preserve"> </w:t>
      </w:r>
      <w:r>
        <w:t xml:space="preserve">Section</w:t>
      </w:r>
      <w:r>
        <w:t xml:space="preserve"> </w:t>
      </w:r>
      <w:hyperlink w:anchor="sec:tests:phase_c">
        <w:r>
          <w:rPr>
            <w:rStyle w:val="Hyperlink"/>
          </w:rPr>
          <w:t xml:space="preserve">5.6</w:t>
        </w:r>
      </w:hyperlink>
      <w:r>
        <w:t xml:space="preserve">: CIFAR-10 carries more inter-class color</w:t>
      </w:r>
      <w:r>
        <w:t xml:space="preserve"> </w:t>
      </w:r>
      <w:r>
        <w:t xml:space="preserve">information that is destroyed by the saturation lerp, and SSIM does not</w:t>
      </w:r>
      <w:r>
        <w:t xml:space="preserve"> </w:t>
      </w:r>
      <w:r>
        <w:t xml:space="preserve">penalize the color collapse strongly.</w:t>
      </w:r>
    </w:p>
    <w:bookmarkStart w:id="76" w:name="fig:acc_vs_psnr"/>
    <w:p>
      <w:pPr>
        <w:pStyle w:val="CaptionedFigure"/>
      </w:pPr>
      <w:r>
        <w:drawing>
          <wp:inline>
            <wp:extent cx="5334000" cy="2592053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../figures/curves/accuracy_vs_psn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Validation accuracy vs mean PSNR per pipeline. Each marker is one trained cell; color indicates the backbone. The strong negative monotone relationship justifies treating PSNR as a low-cost proxy for downstream accuracy at design time.</w:t>
      </w:r>
    </w:p>
    <w:bookmarkEnd w:id="76"/>
    <w:bookmarkStart w:id="80" w:name="fig:acc_vs_ssim"/>
    <w:p>
      <w:pPr>
        <w:pStyle w:val="CaptionedFigure"/>
      </w:pPr>
      <w:r>
        <w:drawing>
          <wp:inline>
            <wp:extent cx="5334000" cy="2574408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../figures/curves/accuracy_vs_ssim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4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Validation accuracy vs mean SSIM per pipeline.</w:t>
      </w:r>
    </w:p>
    <w:bookmarkEnd w:id="80"/>
    <w:bookmarkEnd w:id="81"/>
    <w:bookmarkStart w:id="107" w:name="sec:tests:phase_c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Per-axis isolation (Phase C)</w:t>
      </w:r>
    </w:p>
    <w:p>
      <w:pPr>
        <w:pStyle w:val="FirstParagraph"/>
      </w:pPr>
      <w:r>
        <w:t xml:space="preserve">Phase C isolates each axis: the named axis is at level L, every other axis</w:t>
      </w:r>
      <w:r>
        <w:t xml:space="preserve"> </w:t>
      </w:r>
      <w:r>
        <w:t xml:space="preserve">is at its identity value. Table</w:t>
      </w:r>
      <w:r>
        <w:t xml:space="preserve"> </w:t>
      </w:r>
      <w:hyperlink w:anchor="tab:phase_c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reports the full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t xml:space="preserve">accuracy block; Figure</w:t>
      </w:r>
      <w:r>
        <w:t xml:space="preserve"> </w:t>
      </w:r>
      <w:hyperlink w:anchor="fig:attribution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shows the per-axis attribution at L3 as</w:t>
      </w:r>
      <w:r>
        <w:t xml:space="preserve"> </w:t>
      </w:r>
      <w:r>
        <w:t xml:space="preserve">accuracy delta vs the Phase A clean baseline.</w:t>
      </w:r>
    </w:p>
    <w:bookmarkStart w:id="82" w:name="tab:phase_c"/>
    <w:p>
      <w:pPr>
        <w:pStyle w:val="TableCaption"/>
      </w:pPr>
      <w:r>
        <w:t xml:space="preserve">Phase C single-axis isolation validation accuracy (%). The named axis is at level L; every other axis is at its identity value.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hase C single-axis isolation validation accuracy (%). The named axis is at level L; every other axis is at its identity value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99.04</w:t>
            </w:r>
          </w:p>
        </w:tc>
      </w:tr>
    </w:tbl>
    <w:bookmarkEnd w:id="82"/>
    <w:bookmarkStart w:id="89" w:name="fig:attribution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2613660" cy="1433429"/>
                  <wp:effectExtent b="0" l="0" r="0" t="0"/>
                  <wp:docPr descr="image" title="" id="84" name="Picture"/>
                  <a:graphic>
                    <a:graphicData uri="http://schemas.openxmlformats.org/drawingml/2006/picture">
                      <pic:pic>
                        <pic:nvPicPr>
                          <pic:cNvPr descr="../figures/attribution/axis_attribution_L3_cifar10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14334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2613660" cy="1433429"/>
                  <wp:effectExtent b="0" l="0" r="0" t="0"/>
                  <wp:docPr descr="image" title="" id="87" name="Picture"/>
                  <a:graphic>
                    <a:graphicData uri="http://schemas.openxmlformats.org/drawingml/2006/picture">
                      <pic:pic>
                        <pic:nvPicPr>
                          <pic:cNvPr descr="../figures/attribution/axis_attribution_L3_mnist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14334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Per-axis attribution at L3: accuracy delta vs the Phase A clean baseline. Resolution dominates on CIFAR-10; on MNIST the spread between axes is smaller because the digit shapes are tolerant of color loss and moderate blur.</w:t>
      </w:r>
    </w:p>
    <w:bookmarkEnd w:id="89"/>
    <w:bookmarkStart w:id="96" w:name="fig:acc_vs_psnr_phaseC_cifar1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2613660" cy="1633537"/>
                  <wp:effectExtent b="0" l="0" r="0" t="0"/>
                  <wp:docPr descr="image" title="" id="91" name="Picture"/>
                  <a:graphic>
                    <a:graphicData uri="http://schemas.openxmlformats.org/drawingml/2006/picture">
                      <pic:pic>
                        <pic:nvPicPr>
                          <pic:cNvPr descr="../figures/curves/acc_vs_psnr_phaseC_cifar10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1633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2613660" cy="1633537"/>
                  <wp:effectExtent b="0" l="0" r="0" t="0"/>
                  <wp:docPr descr="image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figures/curves/acc_vs_ssim_phaseC_cifar10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1633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Phase C per-axis accuracy versus image-quality on CIFAR-10. Three model traces (ResNet50 / DenseNet121 / TransNeXt-tiny), five axis line-styles (resolution, blur, noise, saturation, salt-and-pepper). Resolution carries the strongest accuracy-PSNR association (Spearman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0.93</m:t>
        </m:r>
      </m:oMath>
      <w:r>
        <w:t xml:space="preserve">); saturation and salt-and-pepper are largely flat.</w:t>
      </w:r>
    </w:p>
    <w:bookmarkEnd w:id="96"/>
    <w:p>
      <w:pPr>
        <w:pStyle w:val="BodyText"/>
      </w:pPr>
      <w:bookmarkStart w:id="97" w:name="fig:acc_vs_ssim_phaseC_cifar10"/>
      <w:bookmarkEnd w:id="97"/>
    </w:p>
    <w:bookmarkStart w:id="104" w:name="fig:acc_vs_psnr_phaseC_mnist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2613660" cy="1633537"/>
                  <wp:effectExtent b="0" l="0" r="0" t="0"/>
                  <wp:docPr descr="image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figures/curves/acc_vs_psnr_phaseC_mnist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1633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2613660" cy="1633537"/>
                  <wp:effectExtent b="0" l="0" r="0" t="0"/>
                  <wp:docPr descr="image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../figures/curves/acc_vs_ssim_phaseC_mnist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1633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Phase C per-axis accuracy versus image-quality on MNIST. The resolution axis dominates (Spearman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0.98</m:t>
        </m:r>
      </m:oMath>
      <w:r>
        <w:t xml:space="preserve"> </w:t>
      </w:r>
      <w:r>
        <w:t xml:space="preserve">vs PSNR); MNIST’s near-saturation accuracy at moderate PSNR explains the smaller dynamic range visible here.</w:t>
      </w:r>
    </w:p>
    <w:bookmarkEnd w:id="104"/>
    <w:p>
      <w:pPr>
        <w:pStyle w:val="BodyText"/>
      </w:pPr>
      <w:bookmarkStart w:id="105" w:name="fig:acc_vs_ssim_phaseC_mnist"/>
      <w:bookmarkEnd w:id="105"/>
    </w:p>
    <w:p>
      <w:pPr>
        <w:pStyle w:val="BodyText"/>
      </w:pPr>
      <w:r>
        <w:t xml:space="preserve">Table</w:t>
      </w:r>
      <w:r>
        <w:t xml:space="preserve"> </w:t>
      </w:r>
      <w:hyperlink w:anchor="tab:attribution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reports the L3 attribution numerically together</w:t>
      </w:r>
      <w:r>
        <w:t xml:space="preserve"> </w:t>
      </w:r>
      <w:r>
        <w:t xml:space="preserve">with the combined Phase B L3 cell so the reader can verify that the</w:t>
      </w:r>
      <w:r>
        <w:t xml:space="preserve"> </w:t>
      </w:r>
      <w:r>
        <w:t xml:space="preserve">per-axis drops sum to less than the combined drop (the axes are not</w:t>
      </w:r>
      <w:r>
        <w:t xml:space="preserve"> </w:t>
      </w:r>
      <w:r>
        <w:t xml:space="preserve">additive: their interactions compound).</w:t>
      </w:r>
    </w:p>
    <w:bookmarkStart w:id="106" w:name="tab:attribution"/>
    <w:p>
      <w:pPr>
        <w:pStyle w:val="TableCaption"/>
      </w:pPr>
      <w:r>
        <w:t xml:space="preserve">Per-axis accuracy attribution at L3: validation-accuracy drop (percentage points) relative to the Phase A clean baseline. "Combined" is the Phase B L3 cell (all five axes active simultaneously).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axis accuracy attribution at L3: validation-accuracy drop (percentage points) relative to the Phase A clean baseline. &quot;Combined&quot; is the Phase B L3 cell (all five axes active simultaneously)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Combined (B L3)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-59.32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-53.96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-58.64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-19.30</w:t>
            </w:r>
          </w:p>
        </w:tc>
      </w:tr>
    </w:tbl>
    <w:bookmarkEnd w:id="106"/>
    <w:bookmarkEnd w:id="107"/>
    <w:bookmarkStart w:id="113" w:name="sec:tests:phase_d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Regularization recovery (Phase D)</w:t>
      </w:r>
    </w:p>
    <w:p>
      <w:pPr>
        <w:pStyle w:val="FirstParagraph"/>
      </w:pPr>
      <w:r>
        <w:t xml:space="preserve">Phase D layers three regularization treatments on top of the Phase B Optuna</w:t>
      </w:r>
      <w:r>
        <w:t xml:space="preserve"> </w:t>
      </w:r>
      <w:r>
        <w:t xml:space="preserve">winners. Table</w:t>
      </w:r>
      <w:r>
        <w:t xml:space="preserve"> </w:t>
      </w:r>
      <w:hyperlink w:anchor="tab:phase_d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reports the accuracy at every level for</w:t>
      </w:r>
      <w:r>
        <w:t xml:space="preserve"> </w:t>
      </w:r>
      <w:r>
        <w:t xml:space="preserve">every treatment.</w:t>
      </w:r>
    </w:p>
    <w:bookmarkStart w:id="108" w:name="tab:phase_d"/>
    <w:p>
      <w:pPr>
        <w:pStyle w:val="TableCaption"/>
      </w:pPr>
      <w:r>
        <w:t xml:space="preserve">Phase D regularization-recovery validation accuracy (%). T1 = architectural regularization only; T2 = label-mixing only; T3 = combination. Degradation pipeline matches Phase B at the same level.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hase D regularization-recovery validation accuracy (%). T1 = architectural regularization only; T2 = label-mixing only; T3 = combination. Degradation pipeline matches Phase B at the same level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37.27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79.85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81.49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43.33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81.20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27.94</w:t>
            </w:r>
          </w:p>
        </w:tc>
      </w:tr>
    </w:tbl>
    <w:bookmarkEnd w:id="108"/>
    <w:bookmarkStart w:id="112" w:name="fig:phase_d_recovery"/>
    <w:p>
      <w:pPr>
        <w:pStyle w:val="CaptionedFigure"/>
      </w:pPr>
      <w:r>
        <w:drawing>
          <wp:inline>
            <wp:extent cx="4533900" cy="4140046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../figures/phase_d/recovery_summary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140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 D recovery summary. The Phase B baseline (Phase B1 cells under the frozen hyperparameters) is the comparison anchor: each bar reports the mean accuracy delta vs that Phase B baseline at the same level, averaged across the five levels. T3 is the best treatment but the absolute recovery remains modest (mean</w:t>
      </w:r>
      <w:r>
        <w:t xml:space="preserve"> </w:t>
      </w:r>
      <m:oMath>
        <m:r>
          <m:rPr>
            <m:sty m:val="p"/>
          </m:rPr>
          <m:t>∼</m:t>
        </m:r>
        <m:r>
          <m:t>0.77</m:t>
        </m:r>
      </m:oMath>
      <w:r>
        <w:t xml:space="preserve"> percentage points) compared with the</w:t>
      </w:r>
      <w:r>
        <w:t xml:space="preserve"> </w:t>
      </w:r>
      <m:oMath>
        <m:r>
          <m:rPr>
            <m:sty m:val="p"/>
          </m:rPr>
          <m:t>−</m:t>
        </m:r>
        <m:r>
          <m:t>12.49</m:t>
        </m:r>
      </m:oMath>
      <w:r>
        <w:t xml:space="preserve"> percentage points Phase B collapse against the earlier pipeline.</w:t>
      </w:r>
    </w:p>
    <w:bookmarkEnd w:id="112"/>
    <w:bookmarkEnd w:id="113"/>
    <w:bookmarkStart w:id="119" w:name="sec:tests:phase_b2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THz protocol simplification (Phase B2 and B2-nr)</w:t>
      </w:r>
    </w:p>
    <w:p>
      <w:pPr>
        <w:pStyle w:val="FirstParagraph"/>
      </w:pPr>
      <w:r>
        <w:t xml:space="preserve">Phase B2 simplifies the THz protocol by forcing saturation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(full</w:t>
      </w:r>
      <w:r>
        <w:t xml:space="preserve"> </w:t>
      </w:r>
      <w:r>
        <w:t xml:space="preserve">grayscale) and noise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(no additive noise). T3 regularization is still</w:t>
      </w:r>
      <w:r>
        <w:t xml:space="preserve"> </w:t>
      </w:r>
      <w:r>
        <w:t xml:space="preserve">applied. Phase B2-nr is the no-regularization arm at L3 only, used to</w:t>
      </w:r>
      <w:r>
        <w:t xml:space="preserve"> </w:t>
      </w:r>
      <w:r>
        <w:t xml:space="preserve">decompose the Phase B1 to B2 improvement into pure-protocol and</w:t>
      </w:r>
      <w:r>
        <w:t xml:space="preserve"> </w:t>
      </w:r>
      <w:r>
        <w:t xml:space="preserve">regularization fractions. Table</w:t>
      </w:r>
      <w:r>
        <w:t xml:space="preserve"> </w:t>
      </w:r>
      <w:hyperlink w:anchor="tab:phase_b2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reports the accuracy</w:t>
      </w:r>
      <w:r>
        <w:t xml:space="preserve"> </w:t>
      </w:r>
      <w:r>
        <w:t xml:space="preserve">block.</w:t>
      </w:r>
    </w:p>
    <w:bookmarkStart w:id="114" w:name="tab:phase_b2"/>
    <w:p>
      <w:pPr>
        <w:pStyle w:val="TableCaption"/>
      </w:pPr>
      <w:r>
        <w:t xml:space="preserve">Phase B2 (THz-protocol simplification, saturation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, noise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) and Phase B2-nr (L3 only, no regularization) validation accuracy (%).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hase B2 (THz-protocol simplification, saturation =0, noise =0) and Phase B2-nr (L3 only, no regularization) validation accuracy (%)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 (T3)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41.09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B2nr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40.31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 (T3)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84.88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B2nr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85.74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 (T3)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42.41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B2nr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40.75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 (T3)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86.23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B2nr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85.70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 (T3)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46.43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B2nr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43.57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 (T3)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85.67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B2nr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84.61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</w:tbl>
    <w:bookmarkEnd w:id="114"/>
    <w:bookmarkStart w:id="118" w:name="fig:phase_b2_summary"/>
    <w:p>
      <w:pPr>
        <w:pStyle w:val="CaptionedFigure"/>
      </w:pPr>
      <w:r>
        <w:drawing>
          <wp:inline>
            <wp:extent cx="4533900" cy="283957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../figures/phase_b2/comparison_summary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39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 B2 protocol-simplification decomposition summary. The B1 to B2 accuracy gain (</w:t>
      </w:r>
      <m:oMath>
        <m:r>
          <m:rPr>
            <m:sty m:val="p"/>
          </m:rPr>
          <m:t>∼</m:t>
        </m:r>
        <m:r>
          <m:rPr>
            <m:sty m:val="p"/>
          </m:rPr>
          <m:t>+</m:t>
        </m:r>
        <m:r>
          <m:t>4.01</m:t>
        </m:r>
      </m:oMath>
      <w:r>
        <w:t xml:space="preserve"> </w:t>
      </w:r>
      <w:r>
        <w:t xml:space="preserve">percentage points on average) decomposes as</w:t>
      </w:r>
      <w:r>
        <w:t xml:space="preserve"> </w:t>
      </w:r>
      <m:oMath>
        <m:r>
          <m:rPr>
            <m:sty m:val="p"/>
          </m:rPr>
          <m:t>∼</m:t>
        </m:r>
        <m:r>
          <m:rPr>
            <m:sty m:val="p"/>
          </m:rPr>
          <m:t>+</m:t>
        </m:r>
        <m:r>
          <m:t>3.24</m:t>
        </m:r>
      </m:oMath>
      <w:r>
        <w:t xml:space="preserve"> </w:t>
      </w:r>
      <w:r>
        <w:t xml:space="preserve">percentage points pure-protocol effect (saturation and noise off) and</w:t>
      </w:r>
      <w:r>
        <w:t xml:space="preserve"> </w:t>
      </w:r>
      <m:oMath>
        <m:r>
          <m:rPr>
            <m:sty m:val="p"/>
          </m:rPr>
          <m:t>∼</m:t>
        </m:r>
        <m:r>
          <m:rPr>
            <m:sty m:val="p"/>
          </m:rPr>
          <m:t>+</m:t>
        </m:r>
        <m:r>
          <m:t>0.77</m:t>
        </m:r>
      </m:oMath>
      <w:r>
        <w:t xml:space="preserve"> </w:t>
      </w:r>
      <w:r>
        <w:t xml:space="preserve">percentage points regularization effect.</w:t>
      </w:r>
    </w:p>
    <w:bookmarkEnd w:id="118"/>
    <w:bookmarkEnd w:id="119"/>
    <w:bookmarkStart w:id="141" w:name="sec:tests:phase_c2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Single-axis under the THz protocol (Phase C2)</w:t>
      </w:r>
    </w:p>
    <w:p>
      <w:pPr>
        <w:pStyle w:val="FirstParagraph"/>
      </w:pPr>
      <w:r>
        <w:t xml:space="preserve">Phase C2 isolates each of the three THz-relevant axes (resolution, blur,</w:t>
      </w:r>
      <w:r>
        <w:t xml:space="preserve"> </w:t>
      </w:r>
      <w:r>
        <w:t xml:space="preserve">salt and pepper) under the simplified protocol. Table</w:t>
      </w:r>
      <w:r>
        <w:t xml:space="preserve"> </w:t>
      </w:r>
      <w:hyperlink w:anchor="tab:phase_c2">
        <w:r>
          <w:rPr>
            <w:rStyle w:val="Hyperlink"/>
          </w:rPr>
          <w:t xml:space="preserve">13</w:t>
        </w:r>
      </w:hyperlink>
      <w:r>
        <w:t xml:space="preserve"> </w:t>
      </w:r>
      <w:r>
        <w:t xml:space="preserve">reports the accuracy block; Figure</w:t>
      </w:r>
      <w:r>
        <w:t xml:space="preserve"> </w:t>
      </w:r>
      <w:hyperlink w:anchor="fig:phase_c2_summary">
        <w:r>
          <w:rPr>
            <w:rStyle w:val="Hyperlink"/>
          </w:rPr>
          <w:t xml:space="preserve">15</w:t>
        </w:r>
      </w:hyperlink>
      <w:r>
        <w:t xml:space="preserve"> </w:t>
      </w:r>
      <w:r>
        <w:t xml:space="preserve">shows the</w:t>
      </w:r>
      <w:r>
        <w:t xml:space="preserve"> </w:t>
      </w:r>
      <w:r>
        <w:t xml:space="preserve">attribution summary.</w:t>
      </w:r>
    </w:p>
    <w:bookmarkStart w:id="120" w:name="tab:phase_c2"/>
    <w:p>
      <w:pPr>
        <w:pStyle w:val="TableCaption"/>
      </w:pPr>
      <w:r>
        <w:t xml:space="preserve">Phase C2 single-axis isolation under the THz protocol (saturation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, noise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, T3 regularization) validation accuracy (%).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hase C2 single-axis isolation under the THz protocol (saturation =0, noise =0, T3 regularization) validation accuracy (%)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99.08</w:t>
            </w:r>
          </w:p>
        </w:tc>
      </w:tr>
    </w:tbl>
    <w:bookmarkEnd w:id="120"/>
    <w:bookmarkStart w:id="124" w:name="fig:phase_c2_summary"/>
    <w:p>
      <w:pPr>
        <w:pStyle w:val="CaptionedFigure"/>
      </w:pPr>
      <w:r>
        <w:drawing>
          <wp:inline>
            <wp:extent cx="4533900" cy="2403571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../figures/phase_c2/attribution_summary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03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 C2 per-axis THz attribution summary. Mean accuracy delta from L1 to L5: resolution</w:t>
      </w:r>
      <w:r>
        <w:t xml:space="preserve"> </w:t>
      </w:r>
      <m:oMath>
        <m:r>
          <m:rPr>
            <m:sty m:val="p"/>
          </m:rPr>
          <m:t>−</m:t>
        </m:r>
        <m:r>
          <m:t>27.45</m:t>
        </m:r>
      </m:oMath>
      <w:r>
        <w:t xml:space="preserve"> percentage points, blur</w:t>
      </w:r>
      <w:r>
        <w:t xml:space="preserve"> </w:t>
      </w:r>
      <m:oMath>
        <m:r>
          <m:rPr>
            <m:sty m:val="p"/>
          </m:rPr>
          <m:t>−</m:t>
        </m:r>
        <m:r>
          <m:t>6.58</m:t>
        </m:r>
      </m:oMath>
      <w:r>
        <w:t xml:space="preserve"> percentage points, salt and pepper</w:t>
      </w:r>
      <w:r>
        <w:t xml:space="preserve"> </w:t>
      </w:r>
      <m:oMath>
        <m:r>
          <m:rPr>
            <m:sty m:val="p"/>
          </m:rPr>
          <m:t>−</m:t>
        </m:r>
        <m:r>
          <m:t>5.13</m:t>
        </m:r>
      </m:oMath>
      <w:r>
        <w:t xml:space="preserve"> percentage points. Resolution is the dominant axis by a factor of approximately four.</w:t>
      </w:r>
    </w:p>
    <w:bookmarkEnd w:id="124"/>
    <w:bookmarkStart w:id="131" w:name="fig:acc_vs_psnr_phaseC2_cifar1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2613660" cy="1633537"/>
                  <wp:effectExtent b="0" l="0" r="0" t="0"/>
                  <wp:docPr descr="image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../figures/curves/acc_vs_psnr_phaseC2_cifar10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1633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2613660" cy="1633537"/>
                  <wp:effectExtent b="0" l="0" r="0" t="0"/>
                  <wp:docPr descr="image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figures/curves/acc_vs_ssim_phaseC2_cifar10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1633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Phase C2 per-axis accuracy versus image-quality on CIFAR-10. Three THz-relevant axes (resolution, blur, salt-and-pepper) under the simplified protocol. Resolution dominates (Spearman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0.98</m:t>
        </m:r>
      </m:oMath>
      <w:r>
        <w:t xml:space="preserve"> </w:t>
      </w:r>
      <w:r>
        <w:t xml:space="preserve">vs PSNR).</w:t>
      </w:r>
    </w:p>
    <w:bookmarkEnd w:id="131"/>
    <w:p>
      <w:pPr>
        <w:pStyle w:val="BodyText"/>
      </w:pPr>
      <w:bookmarkStart w:id="132" w:name="fig:acc_vs_ssim_phaseC2_cifar10"/>
      <w:bookmarkEnd w:id="132"/>
    </w:p>
    <w:bookmarkStart w:id="139" w:name="fig:acc_vs_psnr_phaseC2_mnist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2613660" cy="1633537"/>
                  <wp:effectExtent b="0" l="0" r="0" t="0"/>
                  <wp:docPr descr="image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../figures/curves/acc_vs_psnr_phaseC2_mnist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1633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2613660" cy="1633537"/>
                  <wp:effectExtent b="0" l="0" r="0" t="0"/>
                  <wp:docPr descr="image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../figures/curves/acc_vs_ssim_phaseC2_mnist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1633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Phase C2 per-axis accuracy versus image-quality on MNIST. Same THz subset; resolution 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0.98</m:t>
        </m:r>
      </m:oMath>
      <w:r>
        <w:t xml:space="preserve"> </w:t>
      </w:r>
      <w:r>
        <w:t xml:space="preserve">versus PSNR.</w:t>
      </w:r>
    </w:p>
    <w:bookmarkEnd w:id="139"/>
    <w:p>
      <w:pPr>
        <w:pStyle w:val="BodyText"/>
      </w:pPr>
      <w:bookmarkStart w:id="140" w:name="fig:acc_vs_ssim_phaseC2_mnist"/>
      <w:bookmarkEnd w:id="140"/>
    </w:p>
    <w:bookmarkEnd w:id="141"/>
    <w:bookmarkStart w:id="150" w:name="sec:tests:multiseed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Multi-seed audit</w:t>
      </w:r>
    </w:p>
    <w:p>
      <w:pPr>
        <w:pStyle w:val="FirstParagraph"/>
      </w:pPr>
      <w:r>
        <w:t xml:space="preserve">The multi-seed audit re-runs each of the 24 L3 headline cells at</w:t>
      </w:r>
      <w:r>
        <w:t xml:space="preserve"> </w:t>
      </w:r>
      <w:r>
        <w:t xml:space="preserve">seeds 43 and 44 in addition to the canonical seed 42. Table</w:t>
      </w:r>
      <w:r>
        <w:t xml:space="preserve"> </w:t>
      </w:r>
      <w:hyperlink w:anchor="tab:multiseed">
        <w:r>
          <w:rPr>
            <w:rStyle w:val="Hyperlink"/>
          </w:rPr>
          <w:t xml:space="preserve">14</w:t>
        </w:r>
      </w:hyperlink>
      <w:r>
        <w:t xml:space="preserve"> </w:t>
      </w:r>
      <w:r>
        <w:t xml:space="preserve">reports the resulting mean</w:t>
      </w:r>
      <w:r>
        <w:t xml:space="preserve"> </w:t>
      </w:r>
      <m:oMath>
        <m:r>
          <m:rPr>
            <m:sty m:val="p"/>
          </m:rPr>
          <m:t>±</m:t>
        </m:r>
        <m:r>
          <m:t>σ</m:t>
        </m:r>
      </m:oMath>
      <w:r>
        <w:t xml:space="preserve"> </w:t>
      </w:r>
      <w:r>
        <w:t xml:space="preserve">values. Every</w:t>
      </w:r>
      <w:r>
        <w:t xml:space="preserve"> </w:t>
      </w:r>
      <w:r>
        <w:t xml:space="preserve">cell has</w:t>
      </w:r>
      <w:r>
        <w:t xml:space="preserve"> </w:t>
      </w:r>
      <m:oMath>
        <m:r>
          <m:t>σ</m:t>
        </m:r>
        <m:r>
          <m:rPr>
            <m:sty m:val="p"/>
          </m:rPr>
          <m:t>&lt;</m:t>
        </m:r>
        <m:r>
          <m:t>1.5</m:t>
        </m:r>
      </m:oMath>
      <w:r>
        <w:t xml:space="preserve"> </w:t>
      </w:r>
      <w:r>
        <w:t xml:space="preserve">percentage points, which bounds the residual run-to-run</w:t>
      </w:r>
      <w:r>
        <w:t xml:space="preserve"> </w:t>
      </w:r>
      <w:r>
        <w:t xml:space="preserve">variance in every comparison reported above.</w:t>
      </w:r>
    </w:p>
    <w:bookmarkStart w:id="142" w:name="tab:multiseed"/>
    <w:p>
      <w:pPr>
        <w:pStyle w:val="TableCaption"/>
      </w:pPr>
      <w:r>
        <w:t xml:space="preserve">Multi-seed audit: validation accuracy at L3 across seeds</w:t>
      </w:r>
      <w:r>
        <w:t xml:space="preserve"> </w:t>
      </w:r>
      <m:oMath>
        <m:r>
          <m:rPr>
            <m:sty m:val="p"/>
          </m:rPr>
          <m:t>{</m:t>
        </m:r>
        <m:r>
          <m:t>42</m:t>
        </m:r>
        <m:r>
          <m:rPr>
            <m:sty m:val="p"/>
          </m:rPr>
          <m:t>,</m:t>
        </m:r>
        <m:r>
          <m:t>43</m:t>
        </m:r>
        <m:r>
          <m:rPr>
            <m:sty m:val="p"/>
          </m:rPr>
          <m:t>,</m:t>
        </m:r>
        <m:r>
          <m:t>44</m:t>
        </m:r>
        <m:r>
          <m:rPr>
            <m:sty m:val="p"/>
          </m:rPr>
          <m:t>}</m:t>
        </m:r>
      </m:oMath>
      <w:r>
        <w:t xml:space="preserve">, on the 24 L3 headline cells. Standard deviation is reported in percentage points.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ulti-seed audit: validation accuracy at L3 across seeds \{42, 43, 44\}, on the 24 L3 headline cells. Standard deviation is reported in percentage points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 / Tr.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(%)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σ</m:t>
              </m:r>
            </m:oMath>
            <w:r>
              <w:t xml:space="preserve"> </w:t>
            </w:r>
            <w:r>
              <w:t xml:space="preserve">(pp)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bookmarkEnd w:id="142"/>
    <w:bookmarkStart w:id="149" w:name="fig:multiseed_varianc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2613660" cy="1476574"/>
                  <wp:effectExtent b="0" l="0" r="0" t="0"/>
                  <wp:docPr descr="image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figures/multiseed/L3_variance_cifar10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1476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2613660" cy="1476574"/>
                  <wp:effectExtent b="0" l="0" r="0" t="0"/>
                  <wp:docPr descr="image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../figures/multiseed/L3_variance_mnist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1476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Multi-seed variance at L3: each bar reports the mean validation accuracy across seeds</w:t>
      </w:r>
      <w:r>
        <w:t xml:space="preserve"> </w:t>
      </w:r>
      <m:oMath>
        <m:r>
          <m:rPr>
            <m:sty m:val="p"/>
          </m:rPr>
          <m:t>{</m:t>
        </m:r>
        <m:r>
          <m:t>42</m:t>
        </m:r>
        <m:r>
          <m:rPr>
            <m:sty m:val="p"/>
          </m:rPr>
          <m:t>,</m:t>
        </m:r>
        <m:r>
          <m:t>43</m:t>
        </m:r>
        <m:r>
          <m:rPr>
            <m:sty m:val="p"/>
          </m:rPr>
          <m:t>,</m:t>
        </m:r>
        <m:r>
          <m:t>44</m:t>
        </m:r>
        <m:r>
          <m:rPr>
            <m:sty m:val="p"/>
          </m:rPr>
          <m:t>}</m:t>
        </m:r>
      </m:oMath>
      <w:r>
        <w:t xml:space="preserve"> </w:t>
      </w:r>
      <w:r>
        <w:t xml:space="preserve">with the standard-deviation error bar. Color encodes the phase. The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bars are small relative to the cross-phase deltas, which validates the cross-phase comparisons.</w:t>
      </w:r>
    </w:p>
    <w:bookmarkEnd w:id="149"/>
    <w:bookmarkEnd w:id="150"/>
    <w:bookmarkStart w:id="189" w:name="sec:tests:calibration"/>
    <w:p>
      <w:pPr>
        <w:pStyle w:val="Heading2"/>
      </w:pPr>
      <w:r>
        <w:rPr>
          <w:rStyle w:val="SectionNumber"/>
        </w:rPr>
        <w:t xml:space="preserve">5.11</w:t>
      </w:r>
      <w:r>
        <w:tab/>
      </w:r>
      <w:r>
        <w:t xml:space="preserve">Calibration</w:t>
      </w:r>
    </w:p>
    <w:p>
      <w:pPr>
        <w:pStyle w:val="FirstParagraph"/>
      </w:pPr>
      <w:r>
        <w:t xml:space="preserve">Figure</w:t>
      </w:r>
      <w:r>
        <w:t xml:space="preserve"> </w:t>
      </w:r>
      <w:hyperlink w:anchor="fig:reliability_L3">
        <w:r>
          <w:rPr>
            <w:rStyle w:val="Hyperlink"/>
          </w:rPr>
          <w:t xml:space="preserve">19</w:t>
        </w:r>
      </w:hyperlink>
      <w:r>
        <w:t xml:space="preserve"> </w:t>
      </w:r>
      <w:r>
        <w:t xml:space="preserve">shows the reliability diagrams of the six</w:t>
      </w:r>
      <w:r>
        <w:t xml:space="preserve"> </w:t>
      </w:r>
      <w:r>
        <w:t xml:space="preserve">Phase B L3 headline cells; Figure</w:t>
      </w:r>
      <w:r>
        <w:t xml:space="preserve"> </w:t>
      </w:r>
      <w:hyperlink w:anchor="fig:reliability_L5">
        <w:r>
          <w:rPr>
            <w:rStyle w:val="Hyperlink"/>
          </w:rPr>
          <w:t xml:space="preserve">20</w:t>
        </w:r>
      </w:hyperlink>
      <w:r>
        <w:t xml:space="preserve"> </w:t>
      </w:r>
      <w:r>
        <w:t xml:space="preserve">shows the same</w:t>
      </w:r>
      <w:r>
        <w:t xml:space="preserve"> </w:t>
      </w:r>
      <w:r>
        <w:t xml:space="preserve">cells at L5. The diagonal would correspond to perfect calibration. Both</w:t>
      </w:r>
      <w:r>
        <w:t xml:space="preserve"> </w:t>
      </w:r>
      <w:r>
        <w:t xml:space="preserve">CNN backbones inflate confidence as the spatial information collapses,</w:t>
      </w:r>
      <w:r>
        <w:t xml:space="preserve"> </w:t>
      </w:r>
      <w:r>
        <w:t xml:space="preserve">which is consistent with the reported ECE growth from below 5 percentage points at</w:t>
      </w:r>
      <w:r>
        <w:t xml:space="preserve"> </w:t>
      </w:r>
      <w:r>
        <w:t xml:space="preserve">L3 to above 15 percentage points at L5 on CIFAR-10</w:t>
      </w:r>
      <w:r>
        <w:t xml:space="preserve"> </w:t>
      </w:r>
      <w:r>
        <w:t xml:space="preserve">(Guo et al. 2017)</w:t>
      </w:r>
      <w:r>
        <w:t xml:space="preserve">.</w:t>
      </w:r>
    </w:p>
    <w:bookmarkStart w:id="169" w:name="fig:reliability_L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761880" cy="818659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../figures/calibration/B_L3_resnet50_cifar10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880" cy="8186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761880" cy="77857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../figures/calibration/B_L3_densenet121_cifar10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880" cy="778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761880" cy="763806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../figures/calibration/B_L3_transnext_tiny_cifar10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880" cy="763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br/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761880" cy="837962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../figures/calibration/B_L3_resnet50_mnist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880" cy="837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761880" cy="796009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../figures/calibration/B_L3_densenet121_mnist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880" cy="796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761880" cy="784637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../figures/calibration/B_L3_transnext_tiny_mnist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880" cy="784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Reliability diagrams at Phase B L3. Top row: CIFAR-10. Bottom row: MNIST. Columns: ResNet50, DenseNet121, TransNeXt-tiny.</w:t>
      </w:r>
    </w:p>
    <w:bookmarkEnd w:id="169"/>
    <w:bookmarkStart w:id="188" w:name="fig:reliability_L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761880" cy="828766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../figures/calibration/B_L5_resnet50_cifar10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880" cy="828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761880" cy="787706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../figures/calibration/B_L5_densenet121_cifar10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880" cy="787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761880" cy="776569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../figures/calibration/B_L5_transnext_tiny_cifar10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880" cy="776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br/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761880" cy="842637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../figures/calibration/B_L5_resnet50_mnist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880" cy="842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761880" cy="800226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figures/calibration/B_L5_densenet121_mnist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880" cy="8002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761880" cy="788734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../figures/calibration/B_L5_transnext_tiny_mnist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880" cy="788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Reliability diagrams at Phase B L5. Top row: CIFAR-10. Bottom row: MNIST. Columns: ResNet50, DenseNet121, TransNeXt-tiny.</w:t>
      </w:r>
    </w:p>
    <w:bookmarkEnd w:id="188"/>
    <w:bookmarkEnd w:id="189"/>
    <w:bookmarkStart w:id="209" w:name="sec:tests:confusion"/>
    <w:p>
      <w:pPr>
        <w:pStyle w:val="Heading2"/>
      </w:pPr>
      <w:r>
        <w:rPr>
          <w:rStyle w:val="SectionNumber"/>
        </w:rPr>
        <w:t xml:space="preserve">5.12</w:t>
      </w:r>
      <w:r>
        <w:tab/>
      </w:r>
      <w:r>
        <w:t xml:space="preserve">Confusion matrices at L5</w:t>
      </w:r>
    </w:p>
    <w:p>
      <w:pPr>
        <w:pStyle w:val="FirstParagraph"/>
      </w:pPr>
      <w:r>
        <w:t xml:space="preserve">Figure</w:t>
      </w:r>
      <w:r>
        <w:t xml:space="preserve"> </w:t>
      </w:r>
      <w:hyperlink w:anchor="fig:confusion_L5">
        <w:r>
          <w:rPr>
            <w:rStyle w:val="Hyperlink"/>
          </w:rPr>
          <w:t xml:space="preserve">21</w:t>
        </w:r>
      </w:hyperlink>
      <w:r>
        <w:t xml:space="preserve"> </w:t>
      </w:r>
      <w:r>
        <w:t xml:space="preserve">shows the six confusion matrices at the</w:t>
      </w:r>
      <w:r>
        <w:t xml:space="preserve"> </w:t>
      </w:r>
      <w:r>
        <w:t xml:space="preserve">Phase B L5 cell, the worst case across the campaign. The off-diagonal</w:t>
      </w:r>
      <w:r>
        <w:t xml:space="preserve"> </w:t>
      </w:r>
      <w:r>
        <w:t xml:space="preserve">mass concentrates within visually similar superclasses (cat / dog,</w:t>
      </w:r>
      <w:r>
        <w:t xml:space="preserve"> </w:t>
      </w:r>
      <w:r>
        <w:t xml:space="preserve">deer / horse on CIFAR-10; 1 / 7, 3 / 5 on MNIST).</w:t>
      </w:r>
    </w:p>
    <w:bookmarkStart w:id="208" w:name="fig:confusion_L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761880" cy="667592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../figures/confusion/B_L5_resnet50_cifar10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880" cy="6675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761880" cy="66759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figures/confusion/B_L5_densenet121_cifar10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880" cy="6675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761880" cy="667592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../figures/confusion/B_L5_transnext_tiny_cifar10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880" cy="6675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jc w:val="center"/>
            </w:pPr>
            <w:r>
              <w:br/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761880" cy="679607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../figures/confusion/B_L5_resnet50_mnist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880" cy="679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761880" cy="679607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../figures/confusion/B_L5_densenet121_mnist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880" cy="679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761880" cy="679607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../figures/confusion/B_L5_transnext_tiny_mnist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880" cy="679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Confusion matrices at Phase B L5. Top row: CIFAR-10. Bottom row: MNIST. Columns: ResNet50, DenseNet121, TransNeXt-tiny.</w:t>
      </w:r>
    </w:p>
    <w:bookmarkEnd w:id="208"/>
    <w:bookmarkEnd w:id="209"/>
    <w:bookmarkStart w:id="214" w:name="sec:tests:throughput"/>
    <w:p>
      <w:pPr>
        <w:pStyle w:val="Heading2"/>
      </w:pPr>
      <w:r>
        <w:rPr>
          <w:rStyle w:val="SectionNumber"/>
        </w:rPr>
        <w:t xml:space="preserve">5.13</w:t>
      </w:r>
      <w:r>
        <w:tab/>
      </w:r>
      <w:r>
        <w:t xml:space="preserve">Inference throughput</w:t>
      </w:r>
    </w:p>
    <w:p>
      <w:pPr>
        <w:pStyle w:val="FirstParagraph"/>
      </w:pPr>
      <w:r>
        <w:t xml:space="preserve">Figure</w:t>
      </w:r>
      <w:r>
        <w:t xml:space="preserve"> </w:t>
      </w:r>
      <w:hyperlink w:anchor="fig:throughput">
        <w:r>
          <w:rPr>
            <w:rStyle w:val="Hyperlink"/>
          </w:rPr>
          <w:t xml:space="preserve">22</w:t>
        </w:r>
      </w:hyperlink>
      <w:r>
        <w:t xml:space="preserve"> </w:t>
      </w:r>
      <w:r>
        <w:t xml:space="preserve">reports the wall-clock inference latency for</w:t>
      </w:r>
      <w:r>
        <w:t xml:space="preserve"> </w:t>
      </w:r>
      <w:r>
        <w:t xml:space="preserve">each backbone on the test rig. ResNet50 and DenseNet121 fall comfortably</w:t>
      </w:r>
      <w:r>
        <w:t xml:space="preserve"> </w:t>
      </w:r>
      <w:r>
        <w:t xml:space="preserve">under the 50 ms per image acceptance criterion from the preliminary</w:t>
      </w:r>
      <w:r>
        <w:t xml:space="preserve"> </w:t>
      </w:r>
      <w:r>
        <w:t xml:space="preserve">specification; TransNeXt-tiny is roughly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</m:oMath>
      <w:r>
        <w:t xml:space="preserve"> </w:t>
      </w:r>
      <w:r>
        <w:t xml:space="preserve">slower because</w:t>
      </w:r>
      <w:r>
        <w:t xml:space="preserve"> </w:t>
      </w:r>
      <w:r>
        <w:rPr>
          <w:rStyle w:val="VerbatimChar"/>
        </w:rPr>
        <w:t xml:space="preserve">torch.compile</w:t>
      </w:r>
      <w:r>
        <w:t xml:space="preserve"> </w:t>
      </w:r>
      <w:r>
        <w:t xml:space="preserve">is disabled (the foveal-attention path is not</w:t>
      </w:r>
      <w:r>
        <w:t xml:space="preserve"> </w:t>
      </w:r>
      <w:r>
        <w:t xml:space="preserve">Inductor-graph-capturable on the 2.11 stack).</w:t>
      </w:r>
    </w:p>
    <w:bookmarkStart w:id="213" w:name="fig:throughput"/>
    <w:p>
      <w:pPr>
        <w:pStyle w:val="CaptionedFigure"/>
      </w:pPr>
      <w:r>
        <w:drawing>
          <wp:inline>
            <wp:extent cx="3467100" cy="2167553"/>
            <wp:effectExtent b="0" l="0" r="0" t="0"/>
            <wp:docPr descr="" title="" id="211" name="Picture"/>
            <a:graphic>
              <a:graphicData uri="http://schemas.openxmlformats.org/drawingml/2006/picture">
                <pic:pic>
                  <pic:nvPicPr>
                    <pic:cNvPr descr="../figures/inference_throughput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16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Inference latency per image at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, batch size 1,</w:t>
      </w:r>
      <w:r>
        <w:t xml:space="preserve"> </w:t>
      </w:r>
      <w:r>
        <w:rPr>
          <w:rStyle w:val="VerbatimChar"/>
        </w:rPr>
        <w:t xml:space="preserve">bf16-mixed</w:t>
      </w:r>
      <w:r>
        <w:t xml:space="preserve">, RTX 5070.</w:t>
      </w:r>
    </w:p>
    <w:bookmarkEnd w:id="213"/>
    <w:bookmarkEnd w:id="214"/>
    <w:bookmarkEnd w:id="215"/>
    <w:bookmarkStart w:id="220" w:name="sec:problem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Problems and Solutions</w:t>
      </w:r>
    </w:p>
    <w:p>
      <w:pPr>
        <w:pStyle w:val="FirstParagraph"/>
      </w:pPr>
      <w:r>
        <w:t xml:space="preserve">This section enumerates the substantive problems encountered during the</w:t>
      </w:r>
      <w:r>
        <w:t xml:space="preserve"> </w:t>
      </w:r>
      <w:r>
        <w:t xml:space="preserve">campaign and how each was resolved. Each entry pairs the observed symptom</w:t>
      </w:r>
      <w:r>
        <w:t xml:space="preserve"> </w:t>
      </w:r>
      <w:r>
        <w:t xml:space="preserve">with the corrective action that closed the issue.</w:t>
      </w:r>
    </w:p>
    <w:bookmarkStart w:id="216" w:name="vision-transformer-hardware-bring-up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Vision-transformer hardware bring-up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TransNeXt training crashed on the RTX 5070 (Blackwell,</w:t>
      </w:r>
      <w:r>
        <w:t xml:space="preserve"> </w:t>
      </w:r>
      <w:r>
        <w:t xml:space="preserve">sm_120) with an opaque CUDA kernel launch error during the first</w:t>
      </w:r>
      <w:r>
        <w:t xml:space="preserve"> </w:t>
      </w:r>
      <w:r>
        <w:t xml:space="preserve">attention block. The PyTorch 2.x stack at project start shipped kernels</w:t>
      </w:r>
      <w:r>
        <w:t xml:space="preserve"> </w:t>
      </w:r>
      <w:r>
        <w:t xml:space="preserve">compiled for sm_75 through sm_90, and the TransNeXt</w:t>
      </w:r>
      <w:r>
        <w:t xml:space="preserve"> </w:t>
      </w:r>
      <w:r>
        <w:rPr>
          <w:rStyle w:val="VerbatimChar"/>
        </w:rPr>
        <w:t xml:space="preserve">swattention</w:t>
      </w:r>
      <w:r>
        <w:t xml:space="preserve"> </w:t>
      </w:r>
      <w:r>
        <w:t xml:space="preserve">extension was not built with sm_120 prebuilt</w:t>
      </w:r>
      <w:r>
        <w:t xml:space="preserve"> </w:t>
      </w:r>
      <w:r>
        <w:t xml:space="preserve">binaries.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TransNeXt was temporarily quarantined until the</w:t>
      </w:r>
      <w:r>
        <w:t xml:space="preserve"> </w:t>
      </w:r>
      <w:r>
        <w:t xml:space="preserve">upstream</w:t>
      </w:r>
      <w:r>
        <w:t xml:space="preserve"> </w:t>
      </w:r>
      <w:r>
        <w:rPr>
          <w:rStyle w:val="VerbatimChar"/>
        </w:rPr>
        <w:t xml:space="preserve">swattention</w:t>
      </w:r>
      <w:r>
        <w:t xml:space="preserve"> </w:t>
      </w:r>
      <w:r>
        <w:t xml:space="preserve">package was rebuilt with sm_120 support</w:t>
      </w:r>
      <w:r>
        <w:t xml:space="preserve"> </w:t>
      </w:r>
      <w:r>
        <w:t xml:space="preserve">via the PyTorch 2.x Blackwell release. The quarantine predicate is now a</w:t>
      </w:r>
      <w:r>
        <w:t xml:space="preserve"> </w:t>
      </w:r>
      <w:r>
        <w:t xml:space="preserve">permanent no-op (the rebuild has shipped) but is preserved in code so</w:t>
      </w:r>
      <w:r>
        <w:t xml:space="preserve"> </w:t>
      </w:r>
      <w:r>
        <w:t xml:space="preserve">future GPU substitutions can re-use the path. A startup self-test in</w:t>
      </w:r>
      <w:r>
        <w:t xml:space="preserve"> </w:t>
      </w:r>
      <w:r>
        <w:rPr>
          <w:rStyle w:val="VerbatimChar"/>
        </w:rPr>
        <w:t xml:space="preserve">src/lightning/THzDataModule</w:t>
      </w:r>
      <w:r>
        <w:t xml:space="preserve"> </w:t>
      </w:r>
      <w:r>
        <w:t xml:space="preserve">now runs a one-iteration forward</w:t>
      </w:r>
      <w:r>
        <w:t xml:space="preserve"> </w:t>
      </w:r>
      <w:r>
        <w:t xml:space="preserve">pass on the configured GPU before the campaign driver dispatches the</w:t>
      </w:r>
      <w:r>
        <w:t xml:space="preserve"> </w:t>
      </w:r>
      <w:r>
        <w:t xml:space="preserve">first cell, surfacing compute-capability mismatches with a structured</w:t>
      </w:r>
      <w:r>
        <w:t xml:space="preserve"> </w:t>
      </w:r>
      <w:r>
        <w:t xml:space="preserve">error instead of a raw CUDA stack trace.</w:t>
      </w:r>
    </w:p>
    <w:bookmarkEnd w:id="216"/>
    <w:bookmarkStart w:id="217" w:name="vision-transformer-parameter-budget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Vision-transformer parameter budget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The preliminary specification selected</w:t>
      </w:r>
      <w:r>
        <w:t xml:space="preserve"> </w:t>
      </w:r>
      <w:r>
        <w:rPr>
          <w:rStyle w:val="VerbatimChar"/>
        </w:rPr>
        <w:t xml:space="preserve">transnext_small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t>50</m:t>
        </m:r>
      </m:oMath>
      <w:r>
        <w:t xml:space="preserve">M parameters). At the projected</w:t>
      </w:r>
      <w:r>
        <w:t xml:space="preserve"> </w:t>
      </w:r>
      <m:oMath>
        <m:r>
          <m:rPr>
            <m:sty m:val="p"/>
          </m:rPr>
          <m:t>∼</m:t>
        </m:r>
        <m:r>
          <m:t>8</m:t>
        </m:r>
      </m:oMath>
      <w:r>
        <w:t xml:space="preserve"> </w:t>
      </w:r>
      <w:r>
        <w:t xml:space="preserve">GPU-hours per cell versus</w:t>
      </w:r>
      <w:r>
        <w:t xml:space="preserve"> </w:t>
      </w:r>
      <m:oMath>
        <m:r>
          <m:rPr>
            <m:sty m:val="p"/>
          </m:rPr>
          <m:t>∼</m:t>
        </m:r>
        <m:r>
          <m:t>2.5</m:t>
        </m:r>
      </m:oMath>
      <w:r>
        <w:t xml:space="preserve"> </w:t>
      </w:r>
      <w:r>
        <w:t xml:space="preserve">for ResNet50, the 62</w:t>
      </w:r>
      <w:r>
        <w:t xml:space="preserve"> </w:t>
      </w:r>
      <w:r>
        <w:t xml:space="preserve">TransNeXt rows would have slipped the submission deadline by roughly two</w:t>
      </w:r>
      <w:r>
        <w:t xml:space="preserve"> </w:t>
      </w:r>
      <w:r>
        <w:t xml:space="preserve">weeks. The parameter budget was also</w:t>
      </w:r>
      <w:r>
        <w:t xml:space="preserve"> </w:t>
      </w:r>
      <m:oMath>
        <m:r>
          <m:rPr>
            <m:sty m:val="p"/>
          </m:rPr>
          <m:t>∼</m:t>
        </m:r>
        <m:r>
          <m:t>2</m:t>
        </m:r>
        <m:r>
          <m:rPr>
            <m:sty m:val="p"/>
          </m:rPr>
          <m:t>×</m:t>
        </m:r>
      </m:oMath>
      <w:r>
        <w:t xml:space="preserve"> </w:t>
      </w:r>
      <w:r>
        <w:t xml:space="preserve">the ResNet50</w:t>
      </w:r>
      <w:r>
        <w:t xml:space="preserve"> </w:t>
      </w:r>
      <w:r>
        <w:t xml:space="preserve">reference, so the fair-comparison invariant on architectural capacity</w:t>
      </w:r>
      <w:r>
        <w:t xml:space="preserve"> </w:t>
      </w:r>
      <w:r>
        <w:t xml:space="preserve">was not satisfied.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Substituted</w:t>
      </w:r>
      <w:r>
        <w:t xml:space="preserve"> </w:t>
      </w:r>
      <w:r>
        <w:rPr>
          <w:rStyle w:val="VerbatimChar"/>
        </w:rPr>
        <w:t xml:space="preserve">transnext_tiny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t>28</m:t>
        </m:r>
      </m:oMath>
      <w:r>
        <w:t xml:space="preserve">M</w:t>
      </w:r>
      <w:r>
        <w:t xml:space="preserve"> </w:t>
      </w:r>
      <w:r>
        <w:t xml:space="preserve">parameters), which retains the same foveal-attention mechanism that</w:t>
      </w:r>
      <w:r>
        <w:t xml:space="preserve"> </w:t>
      </w:r>
      <w:r>
        <w:t xml:space="preserve">motivated the original choice and is a closer match to the ResNet50</w:t>
      </w:r>
      <w:r>
        <w:t xml:space="preserve"> </w:t>
      </w:r>
      <w:r>
        <w:t xml:space="preserve">parameter budget (</w:t>
      </w:r>
      <m:oMath>
        <m:r>
          <m:rPr>
            <m:sty m:val="p"/>
          </m:rPr>
          <m:t>∼</m:t>
        </m:r>
        <m:r>
          <m:t>25</m:t>
        </m:r>
      </m:oMath>
      <w:r>
        <w:t xml:space="preserve">M). The substitution saved</w:t>
      </w:r>
      <w:r>
        <w:t xml:space="preserve"> </w:t>
      </w:r>
      <m:oMath>
        <m:r>
          <m:rPr>
            <m:sty m:val="p"/>
          </m:rPr>
          <m:t>∼</m:t>
        </m:r>
        <m:r>
          <m:t>310</m:t>
        </m:r>
      </m:oMath>
      <w:r>
        <w:t xml:space="preserve"> </w:t>
      </w:r>
      <w:r>
        <w:t xml:space="preserve">GPU-hours across the TransNeXt rows. The model-loader registry now</w:t>
      </w:r>
      <w:r>
        <w:t xml:space="preserve"> </w:t>
      </w:r>
      <w:r>
        <w:t xml:space="preserve">rejects</w:t>
      </w:r>
      <w:r>
        <w:t xml:space="preserve"> </w:t>
      </w:r>
      <w:r>
        <w:rPr>
          <w:rStyle w:val="VerbatimChar"/>
        </w:rPr>
        <w:t xml:space="preserve">transnext_small</w:t>
      </w:r>
      <w:r>
        <w:t xml:space="preserve"> </w:t>
      </w:r>
      <w:r>
        <w:t xml:space="preserve">with an explicit error so future</w:t>
      </w:r>
      <w:r>
        <w:t xml:space="preserve"> </w:t>
      </w:r>
      <w:r>
        <w:t xml:space="preserve">contributors cannot silently re-introduce the variant.</w:t>
      </w:r>
    </w:p>
    <w:bookmarkEnd w:id="217"/>
    <w:bookmarkStart w:id="218" w:name="Xe82830476665d00d822508f65a72b086fb8c412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Per-pixel blur invisibility at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The Phase C blur axis at L5 produced</w:t>
      </w:r>
      <w:r>
        <w:t xml:space="preserve"> </w:t>
      </w:r>
      <w:r>
        <w:t xml:space="preserve">indistinguishable accuracy from L1 on DenseNet121 (delta below</w:t>
      </w:r>
      <w:r>
        <w:t xml:space="preserve"> </w:t>
      </w:r>
      <m:oMath>
        <m:r>
          <m:t>1</m:t>
        </m:r>
      </m:oMath>
      <w:r>
        <w:t xml:space="preserve"> percentage points). The blur kernels K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  <m:r>
          <m:rPr>
            <m:sty m:val="p"/>
          </m:rPr>
          <m:t>…</m:t>
        </m:r>
        <m:r>
          <m:t>13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0.8</m:t>
        </m:r>
        <m:r>
          <m:rPr>
            <m:sty m:val="p"/>
          </m:rPr>
          <m:t>…</m:t>
        </m:r>
        <m:r>
          <m:t>2.3</m:t>
        </m:r>
      </m:oMath>
      <w:r>
        <w:t xml:space="preserve"> </w:t>
      </w:r>
      <w:r>
        <w:t xml:space="preserve">had been calibrated for native</w:t>
      </w:r>
      <w: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imagery; once applied</w:t>
      </w:r>
      <w:r>
        <w:t xml:space="preserve"> </w:t>
      </w:r>
      <w:r>
        <w:t xml:space="preserve">on the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upsampled tensor they covered only</w:t>
      </w:r>
      <w:r>
        <w:t xml:space="preserve"> </w:t>
      </w:r>
      <m:oMath>
        <m:r>
          <m:rPr>
            <m:sty m:val="p"/>
          </m:rPr>
          <m:t>∼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6</m:t>
        </m:r>
        <m:r>
          <m:rPr>
            <m:sty m:val="p"/>
          </m:rPr>
          <m:t>%</m:t>
        </m:r>
      </m:oMath>
      <w:r>
        <w:t xml:space="preserve"> </w:t>
      </w:r>
      <w:r>
        <w:t xml:space="preserve">of the image width and produced essentially imperceptible</w:t>
      </w:r>
      <w:r>
        <w:t xml:space="preserve"> </w:t>
      </w:r>
      <w:r>
        <w:t xml:space="preserve">smoothing.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Rescaled the blur kernel and sigma schedule to</w:t>
      </w:r>
      <w:r>
        <w:t xml:space="preserve"> </w:t>
      </w:r>
      <w:r>
        <w:t xml:space="preserve">pixel-domain values at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(K</w:t>
      </w:r>
      <w:r>
        <w:t xml:space="preserve"> </w:t>
      </w:r>
      <m:oMath>
        <m:r>
          <m:rPr>
            <m:sty m:val="p"/>
          </m:rPr>
          <m:t>=</m:t>
        </m:r>
        <m:r>
          <m:t>13</m:t>
        </m:r>
        <m:r>
          <m:rPr>
            <m:sty m:val="p"/>
          </m:rPr>
          <m:t>…</m:t>
        </m:r>
        <m:r>
          <m:t>91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…</m:t>
        </m:r>
        <m:r>
          <m:t>18</m:t>
        </m:r>
      </m:oMath>
      <w:r>
        <w:t xml:space="preserve">), with the kernel-to-sigma rule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⌈</m:t>
        </m:r>
        <m:r>
          <m:t>2.5</m:t>
        </m:r>
        <m:r>
          <m:t>σ</m:t>
        </m:r>
        <m:r>
          <m:rPr>
            <m:sty m:val="p"/>
          </m:rPr>
          <m:t>⌉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so the kernel always captures the</w:t>
      </w:r>
      <w:r>
        <w:t xml:space="preserve"> </w:t>
      </w:r>
      <m:oMath>
        <m:r>
          <m:t>2.5</m:t>
        </m:r>
        <m:r>
          <m:t>σ</m:t>
        </m:r>
      </m:oMath>
      <w:r>
        <w:t xml:space="preserve"> </w:t>
      </w:r>
      <w:r>
        <w:t xml:space="preserve">Gaussian footprint. A unit test now asserts that the L5</w:t>
      </w:r>
      <w:r>
        <w:t xml:space="preserve"> </w:t>
      </w:r>
      <w:r>
        <w:t xml:space="preserve">blur configuration produces at least a</w:t>
      </w:r>
      <w:r>
        <w:t xml:space="preserve"> </w:t>
      </w:r>
      <m:oMath>
        <m:r>
          <m:t>5</m:t>
        </m:r>
      </m:oMath>
      <w:r>
        <w:t xml:space="preserve"> dB PSNR drop versus L1, which</w:t>
      </w:r>
      <w:r>
        <w:t xml:space="preserve"> </w:t>
      </w:r>
      <w:r>
        <w:t xml:space="preserve">guards against any future schedule that fails to scale with the input</w:t>
      </w:r>
      <w:r>
        <w:t xml:space="preserve"> </w:t>
      </w:r>
      <w:r>
        <w:t xml:space="preserve">size.</w:t>
      </w:r>
    </w:p>
    <w:bookmarkEnd w:id="218"/>
    <w:bookmarkStart w:id="219" w:name="single-seed-reproducibility-exposure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Single-seed reproducibility exposure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The L3 headline cells were originally reported as</w:t>
      </w:r>
      <w:r>
        <w:t xml:space="preserve"> </w:t>
      </w:r>
      <w:r>
        <w:t xml:space="preserve">single-seed point estimates at seed</w:t>
      </w:r>
      <w:r>
        <w:t xml:space="preserve"> </w:t>
      </w:r>
      <m:oMath>
        <m:r>
          <m:t>42</m:t>
        </m:r>
      </m:oMath>
      <w:r>
        <w:t xml:space="preserve">. A peer-review style critique</w:t>
      </w:r>
      <w:r>
        <w:t xml:space="preserve"> </w:t>
      </w:r>
      <w:r>
        <w:t xml:space="preserve">asked for an explicit run-to-run variance bound on the load-bearing</w:t>
      </w:r>
      <w:r>
        <w:t xml:space="preserve"> </w:t>
      </w:r>
      <w:r>
        <w:t xml:space="preserve">cross-model magnitudes (the +</w:t>
      </w:r>
      <m:oMath>
        <m:r>
          <m:t>5</m:t>
        </m:r>
      </m:oMath>
      <w:r>
        <w:t xml:space="preserve"> percentage points / +</w:t>
      </w:r>
      <m:oMath>
        <m:r>
          <m:t>7</m:t>
        </m:r>
      </m:oMath>
      <w:r>
        <w:t xml:space="preserve"> percentage points /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</m:oMath>
      <w:r>
        <w:t xml:space="preserve"> percentage points</w:t>
      </w:r>
      <w:r>
        <w:t xml:space="preserve"> </w:t>
      </w:r>
      <w:r>
        <w:t xml:space="preserve">margins at L1 to L5).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Added a 48-replicate multi-seed audit at seeds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44</m:t>
        </m:r>
      </m:oMath>
      <w:r>
        <w:t xml:space="preserve"> </w:t>
      </w:r>
      <w:r>
        <w:t xml:space="preserve">across all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L3 headline cells. Every audited cell shows</w:t>
      </w:r>
      <w:r>
        <w:t xml:space="preserve"> </w:t>
      </w:r>
      <m:oMath>
        <m:r>
          <m:t>σ</m:t>
        </m:r>
        <m:r>
          <m:rPr>
            <m:sty m:val="p"/>
          </m:rPr>
          <m:t>&lt;</m:t>
        </m:r>
        <m:r>
          <m:t>1.5</m:t>
        </m:r>
      </m:oMath>
      <w:r>
        <w:t xml:space="preserve"> percentage points; the largest variance is on the TransNeXt-tiny</w:t>
      </w:r>
      <w:r>
        <w:t xml:space="preserve"> </w:t>
      </w:r>
      <w:r>
        <w:t xml:space="preserve">CIFAR-10 Phase B L3 cell (</w:t>
      </w:r>
      <m:oMath>
        <m:r>
          <m:t>σ</m:t>
        </m:r>
        <m:r>
          <m:rPr>
            <m:sty m:val="p"/>
          </m:rPr>
          <m:t>=</m:t>
        </m:r>
        <m:r>
          <m:t>1.31</m:t>
        </m:r>
      </m:oMath>
      <w:r>
        <w:t xml:space="preserve"> percentage points). Schema version 3 of</w:t>
      </w:r>
      <w:r>
        <w:t xml:space="preserve"> </w:t>
      </w:r>
      <w:r>
        <w:rPr>
          <w:rStyle w:val="VerbatimChar"/>
        </w:rPr>
        <w:t xml:space="preserve">Final_Exp.json</w:t>
      </w:r>
      <w:r>
        <w:t xml:space="preserve"> </w:t>
      </w:r>
      <w:r>
        <w:t xml:space="preserve">carries the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_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⟩</m:t>
        </m:r>
        <m:r>
          <m:rPr>
            <m:sty m:val="p"/>
          </m:rPr>
          <m:t>±</m:t>
        </m:r>
        <m:r>
          <m:t>σ</m:t>
        </m:r>
      </m:oMath>
      <w:r>
        <w:t xml:space="preserve"> </w:t>
      </w:r>
      <w:r>
        <w:t xml:space="preserve">pair on every multi-seed</w:t>
      </w:r>
      <w:r>
        <w:t xml:space="preserve"> </w:t>
      </w:r>
      <w:r>
        <w:t xml:space="preserve">cell, and the dashboard renders the variance band by default so the</w:t>
      </w:r>
      <w:r>
        <w:t xml:space="preserve"> </w:t>
      </w:r>
      <w:r>
        <w:t xml:space="preserve">reproducibility floor is visible without re-running the audit.</w:t>
      </w:r>
    </w:p>
    <w:bookmarkEnd w:id="219"/>
    <w:bookmarkEnd w:id="220"/>
    <w:bookmarkStart w:id="225" w:name="sec:crossmodel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Cross-model robustness comparison</w:t>
      </w:r>
    </w:p>
    <w:p>
      <w:pPr>
        <w:pStyle w:val="FirstParagraph"/>
      </w:pPr>
      <w:r>
        <w:t xml:space="preserve">This chapter reads the campaign vertically by model rather than by phase.</w:t>
      </w:r>
      <w:r>
        <w:t xml:space="preserve"> </w:t>
      </w:r>
      <w:r>
        <w:t xml:space="preserve">Sections</w:t>
      </w:r>
      <w:r>
        <w:t xml:space="preserve"> </w:t>
      </w:r>
      <w:hyperlink w:anchor="sec:cm:resnet">
        <w:r>
          <w:rPr>
            <w:rStyle w:val="Hyperlink"/>
          </w:rPr>
          <w:t xml:space="preserve">7.1</w:t>
        </w:r>
      </w:hyperlink>
      <w:r>
        <w:t xml:space="preserve">-</w:t>
      </w:r>
      <w:hyperlink w:anchor="sec:cm:transnext">
        <w:r>
          <w:rPr>
            <w:rStyle w:val="Hyperlink"/>
          </w:rPr>
          <w:t xml:space="preserve">7.3</w:t>
        </w:r>
      </w:hyperlink>
      <w:r>
        <w:t xml:space="preserve"> </w:t>
      </w:r>
      <w:r>
        <w:t xml:space="preserve">synthesize each</w:t>
      </w:r>
      <w:r>
        <w:t xml:space="preserve"> </w:t>
      </w:r>
      <w:r>
        <w:t xml:space="preserve">architecture’s behaviour across Phases B1, C, D, B2, and C2; the</w:t>
      </w:r>
      <w:r>
        <w:t xml:space="preserve"> </w:t>
      </w:r>
      <w:r>
        <w:t xml:space="preserve">side-by-side reading in §</w:t>
      </w:r>
      <w:hyperlink w:anchor="sec:cm:sidebyside">
        <w:r>
          <w:rPr>
            <w:rStyle w:val="Hyperlink"/>
          </w:rPr>
          <w:t xml:space="preserve">7.4</w:t>
        </w:r>
      </w:hyperlink>
      <w:r>
        <w:t xml:space="preserve"> </w:t>
      </w:r>
      <w:r>
        <w:t xml:space="preserve">compares the three at</w:t>
      </w:r>
      <w:r>
        <w:t xml:space="preserve"> </w:t>
      </w:r>
      <w:r>
        <w:t xml:space="preserve">matched image-quality operating points and quantifies the convergence at</w:t>
      </w:r>
      <w:r>
        <w:t xml:space="preserve"> </w:t>
      </w:r>
      <w:r>
        <w:t xml:space="preserve">extreme degradation.</w:t>
      </w:r>
    </w:p>
    <w:bookmarkStart w:id="221" w:name="sec:cm:resnet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ResNet50 robustness profile</w:t>
      </w:r>
    </w:p>
    <w:p>
      <w:pPr>
        <w:pStyle w:val="FirstParagraph"/>
      </w:pPr>
      <w:r>
        <w:t xml:space="preserve">ResNet50 anchors the clean accuracy band at</w:t>
      </w:r>
      <w:r>
        <w:t xml:space="preserve"> </w:t>
      </w:r>
      <m:oMath>
        <m:r>
          <m:t>95.18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on CIFAR-10 and</w:t>
      </w:r>
      <w:r>
        <w:t xml:space="preserve"> </w:t>
      </w:r>
      <m:oMath>
        <m:r>
          <m:t>99.14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on MNIST (Table</w:t>
      </w:r>
      <w:r>
        <w:t xml:space="preserve"> </w:t>
      </w:r>
      <w:hyperlink w:anchor="tab:phase_a">
        <w:r>
          <w:rPr>
            <w:rStyle w:val="Hyperlink"/>
          </w:rPr>
          <w:t xml:space="preserve">7</w:t>
        </w:r>
      </w:hyperlink>
      <w:r>
        <w:t xml:space="preserve">). Under the combined</w:t>
      </w:r>
      <w:r>
        <w:t xml:space="preserve"> </w:t>
      </w:r>
      <w:r>
        <w:t xml:space="preserve">degradation curve its accuracy declines monotonically from</w:t>
      </w:r>
      <w:r>
        <w:t xml:space="preserve"> </w:t>
      </w:r>
      <m:oMath>
        <m:r>
          <m:t>76.46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at L1 to</w:t>
      </w:r>
      <w:r>
        <w:t xml:space="preserve"> </w:t>
      </w:r>
      <m:oMath>
        <m:r>
          <m:t>19.06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at L5 on CIFAR-10. The per-axis decomposition in</w:t>
      </w:r>
      <w:r>
        <w:t xml:space="preserve"> </w:t>
      </w:r>
      <w:r>
        <w:t xml:space="preserve">Figures</w:t>
      </w:r>
      <w:r>
        <w:t xml:space="preserve"> </w:t>
      </w:r>
      <w:hyperlink w:anchor="fig:acc_vs_psnr_phaseC_cifar10">
        <w:r>
          <w:rPr>
            <w:rStyle w:val="Hyperlink"/>
          </w:rPr>
          <w:t xml:space="preserve">11</w:t>
        </w:r>
      </w:hyperlink>
      <w:r>
        <w:t xml:space="preserve">-</w:t>
      </w:r>
      <w:hyperlink w:anchor="fig:acc_vs_ssim_phaseC2_mnist">
        <w:r>
          <w:rPr>
            <w:rStyle w:val="Hyperlink"/>
          </w:rPr>
          <w:t xml:space="preserve">[fig:acc_vs_ssim_phaseC2_mnist]</w:t>
        </w:r>
      </w:hyperlink>
      <w:r>
        <w:t xml:space="preserve"> </w:t>
      </w:r>
      <w:r>
        <w:t xml:space="preserve">attributes the dominant share of the drop to the resolution axis</w:t>
      </w:r>
      <w:r>
        <w:t xml:space="preserve"> </w:t>
      </w:r>
      <w:r>
        <w:t xml:space="preserve">(Spearman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0.93</m:t>
        </m:r>
      </m:oMath>
      <w:r>
        <w:t xml:space="preserve"> </w:t>
      </w:r>
      <w:r>
        <w:t xml:space="preserve">versus PSNR). Phase D-T3 recovers</w:t>
      </w:r>
      <w:r>
        <w:t xml:space="preserve"> </w:t>
      </w:r>
      <m:oMath>
        <m:r>
          <m:rPr>
            <m:sty m:val="p"/>
          </m:rPr>
          <m:t>+</m:t>
        </m:r>
        <m:r>
          <m:t>0.77</m:t>
        </m:r>
        <m:r>
          <m:t> </m:t>
        </m:r>
      </m:oMath>
      <w:r>
        <w:t xml:space="preserve">percentage points on average over the Phase B1 baseline; the recovery is</w:t>
      </w:r>
      <w:r>
        <w:t xml:space="preserve"> </w:t>
      </w:r>
      <w:r>
        <w:t xml:space="preserve">largest at L3 (</w:t>
      </w:r>
      <m:oMath>
        <m:r>
          <m:rPr>
            <m:sty m:val="p"/>
          </m:rPr>
          <m:t>+</m:t>
        </m:r>
        <m:r>
          <m:t>1.4</m:t>
        </m:r>
        <m:r>
          <m:t> </m:t>
        </m:r>
      </m:oMath>
      <w:r>
        <w:t xml:space="preserve">percentage points) and disappears at L5. The model retains</w:t>
      </w:r>
      <w:r>
        <w:t xml:space="preserve"> </w:t>
      </w:r>
      <w:r>
        <w:t xml:space="preserve">its smallest L5 PSNR / accuracy margin on CIFAR-10 (</w:t>
      </w:r>
      <m:oMath>
        <m:r>
          <m:rPr>
            <m:sty m:val="p"/>
          </m:rPr>
          <m:t>∼</m:t>
        </m:r>
        <m:r>
          <m:t>19</m:t>
        </m:r>
      </m:oMath>
      <w:r>
        <w:t xml:space="preserve"> percentage points),</w:t>
      </w:r>
      <w:r>
        <w:t xml:space="preserve"> </w:t>
      </w:r>
      <w:r>
        <w:t xml:space="preserve">which is statistically indistinguishable from the DenseNet121 and</w:t>
      </w:r>
      <w:r>
        <w:t xml:space="preserve"> </w:t>
      </w:r>
      <w:r>
        <w:t xml:space="preserve">TransNeXt-tiny L5 cells.</w:t>
      </w:r>
    </w:p>
    <w:bookmarkEnd w:id="221"/>
    <w:bookmarkStart w:id="222" w:name="sec:cm:densenet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DenseNet121 robustness profile</w:t>
      </w:r>
    </w:p>
    <w:p>
      <w:pPr>
        <w:pStyle w:val="FirstParagraph"/>
      </w:pPr>
      <w:r>
        <w:t xml:space="preserve">DenseNet121 sits slightly below ResNet50 at the clean baseline</w:t>
      </w:r>
      <w:r>
        <w:t xml:space="preserve"> </w:t>
      </w:r>
      <w:r>
        <w:t xml:space="preserve">(</w:t>
      </w:r>
      <m:oMath>
        <m:r>
          <m:t>93.56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on CIFAR-10) but matches its accuracy on MNIST</w:t>
      </w:r>
      <w:r>
        <w:t xml:space="preserve"> </w:t>
      </w:r>
      <w:r>
        <w:t xml:space="preserve">(</w:t>
      </w:r>
      <m:oMath>
        <m:r>
          <m:t>99.30</m:t>
        </m:r>
        <m:r>
          <m:t> </m:t>
        </m:r>
        <m:r>
          <m:rPr>
            <m:sty m:val="p"/>
          </m:rPr>
          <m:t>%</m:t>
        </m:r>
      </m:oMath>
      <w:r>
        <w:t xml:space="preserve">). Under combined degradation it tracks ResNet50 closely</w:t>
      </w:r>
      <w:r>
        <w:t xml:space="preserve"> </w:t>
      </w:r>
      <w:r>
        <w:t xml:space="preserve">(</w:t>
      </w:r>
      <m:oMath>
        <m:r>
          <m:t>78.48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at L1,</w:t>
      </w:r>
      <w:r>
        <w:t xml:space="preserve"> </w:t>
      </w:r>
      <m:oMath>
        <m:r>
          <m:t>19.58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at L5 on CIFAR-10); at L3 the dense</w:t>
      </w:r>
      <w:r>
        <w:t xml:space="preserve"> </w:t>
      </w:r>
      <w:r>
        <w:t xml:space="preserve">backbone holds a small lead over ResNet50 (</w:t>
      </w:r>
      <m:oMath>
        <m:r>
          <m:t>39.60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35.86</m:t>
        </m:r>
        <m:r>
          <m:t> 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The per-axis attribution is qualitatively identical to ResNet50: the</w:t>
      </w:r>
      <w:r>
        <w:t xml:space="preserve"> </w:t>
      </w:r>
      <w:r>
        <w:t xml:space="preserve">resolution axis carries the strongest accuracy-PSNR association and the</w:t>
      </w:r>
      <w:r>
        <w:t xml:space="preserve"> </w:t>
      </w:r>
      <w:r>
        <w:t xml:space="preserve">salt-and-pepper / saturation axes are essentially flat (Figure</w:t>
      </w:r>
      <w:r>
        <w:t xml:space="preserve"> </w:t>
      </w:r>
      <w:hyperlink w:anchor="fig:attribution">
        <w:r>
          <w:rPr>
            <w:rStyle w:val="Hyperlink"/>
          </w:rPr>
          <w:t xml:space="preserve">10</w:t>
        </w:r>
      </w:hyperlink>
      <w:r>
        <w:t xml:space="preserve">). The Phase B2 protocol simplification</w:t>
      </w:r>
      <w:r>
        <w:t xml:space="preserve"> </w:t>
      </w:r>
      <w:r>
        <w:t xml:space="preserve">yields the largest pure-protocol gain on DenseNet121 (</w:t>
      </w:r>
      <m:oMath>
        <m:r>
          <m:rPr>
            <m:sty m:val="p"/>
          </m:rPr>
          <m:t>+</m:t>
        </m:r>
        <m:r>
          <m:t>5.6</m:t>
        </m:r>
        <m:r>
          <m:t> </m:t>
        </m:r>
      </m:oMath>
      <w:r>
        <w:t xml:space="preserve">percentage points at</w:t>
      </w:r>
      <w:r>
        <w:t xml:space="preserve"> </w:t>
      </w:r>
      <w:r>
        <w:t xml:space="preserve">L3 on CIFAR-10), consistent with the dense-feature reuse making the</w:t>
      </w:r>
      <w:r>
        <w:t xml:space="preserve"> </w:t>
      </w:r>
      <w:r>
        <w:t xml:space="preserve">network more sensitive to chroma noise.</w:t>
      </w:r>
    </w:p>
    <w:bookmarkEnd w:id="222"/>
    <w:bookmarkStart w:id="223" w:name="sec:cm:transnext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TransNeXt-tiny robustness profile</w:t>
      </w:r>
    </w:p>
    <w:p>
      <w:pPr>
        <w:pStyle w:val="FirstParagraph"/>
      </w:pPr>
      <w:r>
        <w:t xml:space="preserve">TransNeXt-tiny posts the highest clean baselines (</w:t>
      </w:r>
      <m:oMath>
        <m:r>
          <m:t>97.64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CIFAR-10,</w:t>
      </w:r>
      <w:r>
        <w:t xml:space="preserve"> </w:t>
      </w:r>
      <m:oMath>
        <m:r>
          <m:t>99.24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on MNIST). Under combined degradation it holds the</w:t>
      </w:r>
      <w:r>
        <w:t xml:space="preserve"> </w:t>
      </w:r>
      <w:r>
        <w:t xml:space="preserve">largest accuracy advantage at the mild and moderate end of the curve</w:t>
      </w:r>
      <w:r>
        <w:t xml:space="preserve"> </w:t>
      </w:r>
      <w:r>
        <w:t xml:space="preserve">(</w:t>
      </w:r>
      <m:oMath>
        <m:r>
          <m:t>87.58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at L1,</w:t>
      </w:r>
      <w:r>
        <w:t xml:space="preserve"> </w:t>
      </w:r>
      <m:oMath>
        <m:r>
          <m:t>64.22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at L2 on CIFAR-10), and the advantage</w:t>
      </w:r>
      <w:r>
        <w:t xml:space="preserve"> </w:t>
      </w:r>
      <w:r>
        <w:t xml:space="preserve">collapses into the CNN band at L3 onward. Phase D-T3 has the strongest</w:t>
      </w:r>
      <w:r>
        <w:t xml:space="preserve"> </w:t>
      </w:r>
      <w:r>
        <w:t xml:space="preserve">effect on TransNeXt-tiny (</w:t>
      </w:r>
      <m:oMath>
        <m:r>
          <m:rPr>
            <m:sty m:val="p"/>
          </m:rPr>
          <m:t>+</m:t>
        </m:r>
        <m:r>
          <m:t>2.20</m:t>
        </m:r>
        <m:r>
          <m:t> </m:t>
        </m:r>
      </m:oMath>
      <w:r>
        <w:t xml:space="preserve">percentage points mean over L1-L5 on CIFAR-10),</w:t>
      </w:r>
      <w:r>
        <w:t xml:space="preserve"> </w:t>
      </w:r>
      <w:r>
        <w:t xml:space="preserve">consistent with the foveal-attention mechanism benefiting from the</w:t>
      </w:r>
      <w:r>
        <w:t xml:space="preserve"> </w:t>
      </w:r>
      <w:r>
        <w:t xml:space="preserve">stochastic-depth regularization. At L5 (</w:t>
      </w:r>
      <m:oMath>
        <m:r>
          <m:t>20.10</m:t>
        </m:r>
        <m:r>
          <m:t> </m:t>
        </m:r>
        <m:r>
          <m:rPr>
            <m:sty m:val="p"/>
          </m:rPr>
          <m:t>%</m:t>
        </m:r>
      </m:oMath>
      <w:r>
        <w:t xml:space="preserve">) the model lands</w:t>
      </w:r>
      <w:r>
        <w:t xml:space="preserve"> </w:t>
      </w:r>
      <w:r>
        <w:t xml:space="preserve">within the same</w:t>
      </w:r>
      <w:r>
        <w:t xml:space="preserve"> </w:t>
      </w:r>
      <m:oMath>
        <m:r>
          <m:rPr>
            <m:sty m:val="p"/>
          </m:rPr>
          <m:t>[</m:t>
        </m:r>
        <m:r>
          <m:t>19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]</m:t>
        </m:r>
        <m:r>
          <m:t> </m:t>
        </m:r>
      </m:oMath>
      <w:r>
        <w:t xml:space="preserve">percentage points band as ResNet50 and DenseNet121.</w:t>
      </w:r>
    </w:p>
    <w:bookmarkEnd w:id="223"/>
    <w:bookmarkStart w:id="224" w:name="sec:cm:sidebyside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Side-by-side reading</w:t>
      </w:r>
    </w:p>
    <w:p>
      <w:pPr>
        <w:pStyle w:val="FirstParagraph"/>
      </w:pPr>
      <w:r>
        <w:t xml:space="preserve">At matched image-quality operating points</w:t>
      </w:r>
      <w:r>
        <w:t xml:space="preserve"> </w:t>
      </w:r>
      <w:r>
        <w:t xml:space="preserve">(Figures</w:t>
      </w:r>
      <w:r>
        <w:t xml:space="preserve"> </w:t>
      </w:r>
      <w:hyperlink w:anchor="fig:acc_vs_psnr_phaseC_cifar10">
        <w:r>
          <w:rPr>
            <w:rStyle w:val="Hyperlink"/>
          </w:rPr>
          <w:t xml:space="preserve">11</w:t>
        </w:r>
      </w:hyperlink>
      <w:r>
        <w:t xml:space="preserve">,</w:t>
      </w:r>
      <w:r>
        <w:t xml:space="preserve"> </w:t>
      </w:r>
      <w:hyperlink w:anchor="fig:acc_vs_ssim_phaseC_cifar10">
        <w:r>
          <w:rPr>
            <w:rStyle w:val="Hyperlink"/>
          </w:rPr>
          <w:t xml:space="preserve">[fig:acc_vs_ssim_phaseC_cifar10]</w:t>
        </w:r>
      </w:hyperlink>
      <w:r>
        <w:t xml:space="preserve">, etc.), the three architectures</w:t>
      </w:r>
      <w:r>
        <w:t xml:space="preserve"> </w:t>
      </w:r>
      <w:r>
        <w:t xml:space="preserve">order consistently: TransNeXt-tiny on top at mild and moderate</w:t>
      </w:r>
      <w:r>
        <w:t xml:space="preserve"> </w:t>
      </w:r>
      <w:r>
        <w:t xml:space="preserve">degradation, the two CNNs essentially overlapping. The CIFAR-10</w:t>
      </w:r>
      <w:r>
        <w:t xml:space="preserve"> </w:t>
      </w:r>
      <w:r>
        <w:t xml:space="preserve">TransNeXt advantage over the CNN mean is</w:t>
      </w:r>
      <w:r>
        <w:t xml:space="preserve"> </w:t>
      </w:r>
      <m:oMath>
        <m:r>
          <m:rPr>
            <m:sty m:val="p"/>
          </m:rPr>
          <m:t>+</m:t>
        </m:r>
        <m:r>
          <m:t>10.1</m:t>
        </m:r>
        <m:r>
          <m:t> </m:t>
        </m:r>
      </m:oMath>
      <w:r>
        <w:t xml:space="preserve">percentage points at L1,</w:t>
      </w:r>
      <w:r>
        <w:t xml:space="preserve"> </w:t>
      </w:r>
      <m:oMath>
        <m:r>
          <m:rPr>
            <m:sty m:val="p"/>
          </m:rPr>
          <m:t>+</m:t>
        </m:r>
        <m:r>
          <m:t>10.4</m:t>
        </m:r>
        <m:r>
          <m:t> </m:t>
        </m:r>
      </m:oMath>
      <w:r>
        <w:t xml:space="preserve">percentage points at L2,</w:t>
      </w:r>
      <w:r>
        <w:t xml:space="preserve"> </w:t>
      </w:r>
      <m:oMath>
        <m:r>
          <m:rPr>
            <m:sty m:val="p"/>
          </m:rPr>
          <m:t>+</m:t>
        </m:r>
        <m:r>
          <m:t>1.3</m:t>
        </m:r>
        <m:r>
          <m:t> </m:t>
        </m:r>
      </m:oMath>
      <w:r>
        <w:t xml:space="preserve">percentage points at L3,</w:t>
      </w:r>
      <w:r>
        <w:t xml:space="preserve"> </w:t>
      </w:r>
      <m:oMath>
        <m:r>
          <m:rPr>
            <m:sty m:val="p"/>
          </m:rPr>
          <m:t>+</m:t>
        </m:r>
        <m:r>
          <m:t>0.8</m:t>
        </m:r>
        <m:r>
          <m:t> </m:t>
        </m:r>
      </m:oMath>
      <w:r>
        <w:t xml:space="preserve">percentage points at L4,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0.8</m:t>
        </m:r>
        <m:r>
          <m:t> </m:t>
        </m:r>
      </m:oMath>
      <w:r>
        <w:t xml:space="preserve">percentage points at L5. The advantage thus holds at the mild and</w:t>
      </w:r>
      <w:r>
        <w:t xml:space="preserve"> </w:t>
      </w:r>
      <w:r>
        <w:t xml:space="preserve">moderate end and narrows to under</w:t>
      </w:r>
      <w:r>
        <w:t xml:space="preserve"> </w:t>
      </w:r>
      <m:oMath>
        <m:r>
          <m:t>1.5</m:t>
        </m:r>
        <m:r>
          <m:t> </m:t>
        </m:r>
      </m:oMath>
      <w:r>
        <w:t xml:space="preserve">percentage points by L3; from L3 onward</w:t>
      </w:r>
      <w:r>
        <w:t xml:space="preserve"> </w:t>
      </w:r>
      <w:r>
        <w:t xml:space="preserve">the three architectures are indistinguishable to within the multi-seed</w:t>
      </w:r>
      <w:r>
        <w:t xml:space="preserve"> </w:t>
      </w:r>
      <m:oMath>
        <m:r>
          <m:t>σ</m:t>
        </m:r>
        <m:r>
          <m:rPr>
            <m:sty m:val="p"/>
          </m:rPr>
          <m:t>&lt;</m:t>
        </m:r>
        <m:r>
          <m:t>1.5</m:t>
        </m:r>
        <m:r>
          <m:t> </m:t>
        </m:r>
      </m:oMath>
      <w:r>
        <w:t xml:space="preserve">percentage points noise floor.</w:t>
      </w:r>
    </w:p>
    <w:p>
      <w:pPr>
        <w:pStyle w:val="BodyText"/>
      </w:pPr>
      <w:r>
        <w:t xml:space="preserve">Convergence at extreme degradation deserves separate emphasis. At mean</w:t>
      </w:r>
      <w:r>
        <w:t xml:space="preserve"> </w:t>
      </w:r>
      <w:r>
        <w:t xml:space="preserve">PSNR</w:t>
      </w:r>
      <w:r>
        <w:t xml:space="preserve"> </w:t>
      </w:r>
      <m:oMath>
        <m:r>
          <m:rPr>
            <m:sty m:val="p"/>
          </m:rPr>
          <m:t>≈</m:t>
        </m:r>
        <m:r>
          <m:t>11</m:t>
        </m:r>
        <m:r>
          <m:t> </m:t>
        </m:r>
      </m:oMath>
      <w:r>
        <w:t xml:space="preserve">dB on CIFAR-10 (the L5 operating point), all three</w:t>
      </w:r>
      <w:r>
        <w:t xml:space="preserve"> </w:t>
      </w:r>
      <w:r>
        <w:t xml:space="preserve">models land in the</w:t>
      </w:r>
      <w:r>
        <w:t xml:space="preserve"> </w:t>
      </w:r>
      <m:oMath>
        <m:r>
          <m:rPr>
            <m:sty m:val="p"/>
          </m:rPr>
          <m:t>[</m:t>
        </m:r>
        <m:r>
          <m:t>19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]</m:t>
        </m:r>
        <m:r>
          <m:t> </m:t>
        </m:r>
      </m:oMath>
      <w:r>
        <w:t xml:space="preserve">percentage points accuracy band. The implication</w:t>
      </w:r>
      <w:r>
        <w:t xml:space="preserve"> </w:t>
      </w:r>
      <w:r>
        <w:t xml:space="preserve">for THz deployment is that, at the extreme end of the degradation</w:t>
      </w:r>
      <w:r>
        <w:t xml:space="preserve"> </w:t>
      </w:r>
      <w:r>
        <w:t xml:space="preserve">curve, the architectural choice is irrelevant: the spatial information</w:t>
      </w:r>
      <w:r>
        <w:t xml:space="preserve"> </w:t>
      </w:r>
      <w:r>
        <w:t xml:space="preserve">has been removed, and every architecture studied here recovers only</w:t>
      </w:r>
      <w:r>
        <w:t xml:space="preserve"> </w:t>
      </w:r>
      <w:r>
        <w:t xml:space="preserve">random-guessing accuracy from what remains. Future work that wants to</w:t>
      </w:r>
      <w:r>
        <w:t xml:space="preserve"> </w:t>
      </w:r>
      <w:r>
        <w:t xml:space="preserve">shift the L5 accuracy band must therefore invest in front-end signal</w:t>
      </w:r>
      <w:r>
        <w:t xml:space="preserve"> </w:t>
      </w:r>
      <w:r>
        <w:t xml:space="preserve">restoration (super-resolution, denoising) rather than in larger or</w:t>
      </w:r>
      <w:r>
        <w:t xml:space="preserve"> </w:t>
      </w:r>
      <w:r>
        <w:t xml:space="preserve">deeper classifiers.</w:t>
      </w:r>
    </w:p>
    <w:bookmarkEnd w:id="224"/>
    <w:bookmarkEnd w:id="225"/>
    <w:bookmarkStart w:id="239" w:name="sec:conclusion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Conclusions and Recommendations</w:t>
      </w:r>
    </w:p>
    <w:p>
      <w:pPr>
        <w:pStyle w:val="FirstParagraph"/>
      </w:pPr>
      <w:r>
        <w:t xml:space="preserve">This section summarizes the project, compares the achieved performance to</w:t>
      </w:r>
      <w:r>
        <w:t xml:space="preserve"> </w:t>
      </w:r>
      <w:r>
        <w:t xml:space="preserve">the preliminary specification, discusses the strengths and weaknesses of</w:t>
      </w:r>
      <w:r>
        <w:t xml:space="preserve"> </w:t>
      </w:r>
      <w:r>
        <w:t xml:space="preserve">the chosen approach, and lists the recommendations for any continuation.</w:t>
      </w:r>
    </w:p>
    <w:bookmarkStart w:id="226" w:name="work-summary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Work summary</w:t>
      </w:r>
    </w:p>
    <w:p>
      <w:pPr>
        <w:pStyle w:val="FirstParagraph"/>
      </w:pPr>
      <w:r>
        <w:t xml:space="preserve">The project delivered a reproducible 402-cell training campaign across</w:t>
      </w:r>
      <w:r>
        <w:t xml:space="preserve"> </w:t>
      </w:r>
      <w:r>
        <w:t xml:space="preserve">three architectures (ResNet50, DenseNet121, TransNeXt-tiny), two datasets</w:t>
      </w:r>
      <w:r>
        <w:t xml:space="preserve"> </w:t>
      </w:r>
      <w:r>
        <w:t xml:space="preserve">(CIFAR-10, MNIST), five degradation levels, six experimental phases, and</w:t>
      </w:r>
      <w:r>
        <w:t xml:space="preserve"> </w:t>
      </w:r>
      <w:r>
        <w:t xml:space="preserve">a 48-replicate multi-seed audit. The campaign is anchored to a</w:t>
      </w:r>
      <w:r>
        <w:t xml:space="preserve"> </w:t>
      </w:r>
      <w:r>
        <w:t xml:space="preserve">deterministic 256-image PSNR / SSIM probe per pipeline, so the cross-phase</w:t>
      </w:r>
      <w:r>
        <w:t xml:space="preserve"> </w:t>
      </w:r>
      <w:r>
        <w:t xml:space="preserve">comparison sits on a physical scale. Every value reported in this report</w:t>
      </w:r>
      <w:r>
        <w:t xml:space="preserve"> </w:t>
      </w:r>
      <w:r>
        <w:t xml:space="preserve">is reproducible from a clean checkout using the scripts under</w:t>
      </w:r>
      <w:r>
        <w:t xml:space="preserve"> </w:t>
      </w:r>
      <w:r>
        <w:rPr>
          <w:rStyle w:val="VerbatimChar"/>
        </w:rPr>
        <w:t xml:space="preserve">Final_Report/scripts/</w:t>
      </w:r>
      <w:r>
        <w:t xml:space="preserve">.</w:t>
      </w:r>
    </w:p>
    <w:bookmarkEnd w:id="226"/>
    <w:bookmarkStart w:id="232" w:name="plan-vs-achieved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Plan vs achieved</w:t>
      </w:r>
    </w:p>
    <w:p>
      <w:pPr>
        <w:pStyle w:val="FirstParagraph"/>
      </w:pPr>
      <w:r>
        <w:t xml:space="preserve">Table</w:t>
      </w:r>
      <w:r>
        <w:t xml:space="preserve"> </w:t>
      </w:r>
      <w:hyperlink w:anchor="tab:plan_vs_actual">
        <w:r>
          <w:rPr>
            <w:rStyle w:val="Hyperlink"/>
          </w:rPr>
          <w:t xml:space="preserve">15</w:t>
        </w:r>
      </w:hyperlink>
      <w:r>
        <w:t xml:space="preserve"> </w:t>
      </w:r>
      <w:r>
        <w:t xml:space="preserve">compares the preliminary specification</w:t>
      </w:r>
      <w:r>
        <w:t xml:space="preserve"> </w:t>
      </w:r>
      <w:r>
        <w:t xml:space="preserve">acceptance criteria against the measured outcome. Figure</w:t>
      </w:r>
      <w:r>
        <w:t xml:space="preserve"> </w:t>
      </w:r>
      <w:hyperlink w:anchor="fig:gantt">
        <w:r>
          <w:rPr>
            <w:rStyle w:val="Hyperlink"/>
          </w:rPr>
          <w:t xml:space="preserve">23</w:t>
        </w:r>
      </w:hyperlink>
      <w:r>
        <w:t xml:space="preserve"> </w:t>
      </w:r>
      <w:r>
        <w:t xml:space="preserve">compares the planned schedule against the actual schedule.</w:t>
      </w:r>
    </w:p>
    <w:bookmarkStart w:id="227" w:name="tab:plan_vs_actual"/>
    <w:p>
      <w:pPr>
        <w:pStyle w:val="TableCaption"/>
      </w:pPr>
      <w:r>
        <w:t xml:space="preserve">Acceptance criteria from the preliminary specification vs the measured outcome.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cceptance criteria from the preliminary specification vs the measured outcom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Top-1 accuracy on the moderate-degradation operating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four-fifths CIFAR-10 L3 accuracy (PDR criterion)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 at L3 on MNIST (every backbone). Met at L1 and L2 on CIFAR-10. Not met at L3 on CIFAR-10 (best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74</m:t>
              </m:r>
            </m:oMath>
            <w:r>
              <w:t xml:space="preserve"> percentage points); not met at L4 / L5 on either dataset.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drop ceiling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15</m:t>
              </m:r>
            </m:oMath>
            <w:r>
              <w:t xml:space="preserve"> </w:t>
            </w:r>
            <w:r>
              <w:t xml:space="preserve">percentage points drop relative to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 up to L2 on CIFAR-10 and up to L3 on MNIST. Not met at L4 / L5 on either dataset.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Architectural winner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specific model beats ResNet50 by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5</m:t>
              </m:r>
            </m:oMath>
            <w:r>
              <w:t xml:space="preserve"> </w:t>
            </w:r>
            <w:r>
              <w:t xml:space="preserve">percentage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met. DenseNet121 wins on most CIFAR-10 L3 to L5 cells; TransNeXt-tiny wins on most MNIST cells; the per-cell margin is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t xml:space="preserve"> </w:t>
            </w:r>
            <w:r>
              <w:t xml:space="preserve">percentage points in most cases, so no single architecture is unambiguously dominant.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 latency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50</m:t>
              </m:r>
            </m:oMath>
            <w:r>
              <w:t xml:space="preserve"> </w:t>
            </w:r>
            <w:r>
              <w:t xml:space="preserve">ms per image on a standard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 for ResNet50 and DenseNet121; close to the boundary for TransNeXt-tiny (</w:t>
            </w:r>
            <m:oMath>
              <m:r>
                <m:rPr>
                  <m:sty m:val="p"/>
                </m:rPr>
                <m:t>∼</m:t>
              </m:r>
              <m:r>
                <m:t>30</m:t>
              </m:r>
            </m:oMath>
            <w:r>
              <w:t xml:space="preserve"> </w:t>
            </w:r>
            <w:r>
              <w:t xml:space="preserve">ms with</w:t>
            </w:r>
            <w:r>
              <w:t xml:space="preserve"> </w:t>
            </w:r>
            <w:r>
              <w:rPr>
                <w:rStyle w:val="VerbatimChar"/>
              </w:rPr>
              <w:t xml:space="preserve">torch.compile</w:t>
            </w:r>
            <w:r>
              <w:t xml:space="preserve"> </w:t>
            </w:r>
            <w:r>
              <w:t xml:space="preserve">disabled).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per-sample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Met. Byte-identity gate passes across seeds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42</m:t>
              </m:r>
              <m:r>
                <m:rPr>
                  <m:sty m:val="p"/>
                </m:rPr>
                <m:t>,</m:t>
              </m:r>
              <m:r>
                <m:t>43</m:t>
              </m:r>
              <m:r>
                <m:rPr>
                  <m:sty m:val="p"/>
                </m:rPr>
                <m:t>,</m:t>
              </m:r>
              <m:r>
                <m:t>44</m:t>
              </m:r>
              <m:r>
                <m:rPr>
                  <m:sty m:val="p"/>
                </m:rPr>
                <m:t>}</m:t>
              </m:r>
            </m:oMath>
            <w:r>
              <w:t xml:space="preserve">. Multi-seed audit confirms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&lt;</m:t>
              </m:r>
              <m:r>
                <m:t>1.5</m:t>
              </m:r>
            </m:oMath>
            <w:r>
              <w:t xml:space="preserve"> </w:t>
            </w:r>
            <w:r>
              <w:t xml:space="preserve">percentage points on every L3 headline cell.</w:t>
            </w:r>
          </w:p>
        </w:tc>
      </w:tr>
    </w:tbl>
    <w:bookmarkEnd w:id="227"/>
    <w:bookmarkStart w:id="231" w:name="fig:gantt"/>
    <w:p>
      <w:pPr>
        <w:pStyle w:val="CaptionedFigure"/>
      </w:pPr>
      <w:r>
        <w:drawing>
          <wp:inline>
            <wp:extent cx="5334000" cy="3906028"/>
            <wp:effectExtent b="0" l="0" r="0" t="0"/>
            <wp:docPr descr="" title="" id="229" name="Picture"/>
            <a:graphic>
              <a:graphicData uri="http://schemas.openxmlformats.org/drawingml/2006/picture">
                <pic:pic>
                  <pic:nvPicPr>
                    <pic:cNvPr descr="../figures/gantt/gantt_planned_vs_actual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6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Planned (top) versus actual (bottom) project schedule. The actual schedule added three late-stage expansion phases (Phase D regularization sweep, Phase B2 / B2-nr / C2 THz-protocol decomposition, and the multi-seed audit) on top of the original plan.</w:t>
      </w:r>
    </w:p>
    <w:bookmarkEnd w:id="231"/>
    <w:bookmarkEnd w:id="232"/>
    <w:bookmarkStart w:id="233" w:name="success-and-failure-analysis-vs-goals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Success and failure analysis vs goals</w:t>
      </w:r>
    </w:p>
    <w:p>
      <w:pPr>
        <w:pStyle w:val="FirstParagraph"/>
      </w:pPr>
      <w:r>
        <w:t xml:space="preserve">Of the four original goals from the preliminary specification:</w:t>
      </w:r>
    </w:p>
    <w:p>
      <w:pPr>
        <w:pStyle w:val="BodyText"/>
      </w:pPr>
      <w:r>
        <w:rPr>
          <w:b/>
          <w:bCs/>
        </w:rPr>
        <w:t xml:space="preserve">Goal 1 (high accuracy on degraded data, target 80%).</w:t>
      </w:r>
      <w:r>
        <w:t xml:space="preserve"> </w:t>
      </w:r>
      <w:r>
        <w:rPr>
          <w:i/>
          <w:iCs/>
        </w:rPr>
        <w:t xml:space="preserve">Partially met.</w:t>
      </w:r>
      <w:r>
        <w:t xml:space="preserve"> </w:t>
      </w:r>
      <w:r>
        <w:t xml:space="preserve">The eighty-percent threshold is achieved on MNIST</w:t>
      </w:r>
      <w:r>
        <w:t xml:space="preserve"> </w:t>
      </w:r>
      <w:r>
        <w:t xml:space="preserve">at every level up to L3 and on CIFAR-10 at L1 and L2. At L3 on CIFAR-10</w:t>
      </w:r>
      <w:r>
        <w:t xml:space="preserve"> </w:t>
      </w:r>
      <w:r>
        <w:t xml:space="preserve">the best cell (</w:t>
      </w:r>
      <m:oMath>
        <m:r>
          <m:rPr>
            <m:sty m:val="p"/>
          </m:rPr>
          <m:t>∼</m:t>
        </m:r>
        <m:r>
          <m:t>74</m:t>
        </m:r>
      </m:oMath>
      <w:r>
        <w:t xml:space="preserve"> percentage points) falls</w:t>
      </w:r>
      <w:r>
        <w:t xml:space="preserve"> </w:t>
      </w:r>
      <m:oMath>
        <m:r>
          <m:rPr>
            <m:sty m:val="p"/>
          </m:rPr>
          <m:t>∼</m:t>
        </m:r>
        <m:r>
          <m:t>6</m:t>
        </m:r>
      </m:oMath>
      <w:r>
        <w:t xml:space="preserve"> percentage points short of that</w:t>
      </w:r>
      <w:r>
        <w:t xml:space="preserve"> </w:t>
      </w:r>
      <w:r>
        <w:t xml:space="preserve">target, and at L4 / L5 the accuracy collapses on every backbone (the L5</w:t>
      </w:r>
      <w:r>
        <w:t xml:space="preserve"> </w:t>
      </w:r>
      <w:r>
        <w:t xml:space="preserve">ceiling on CIFAR-10 is</w:t>
      </w:r>
      <w:r>
        <w:t xml:space="preserve"> </w:t>
      </w:r>
      <m:oMath>
        <m:r>
          <m:rPr>
            <m:sty m:val="p"/>
          </m:rPr>
          <m:t>∼</m:t>
        </m:r>
        <m:r>
          <m:t>40</m:t>
        </m:r>
      </m:oMath>
      <w:r>
        <w:t xml:space="preserve"> percentage points). The shortfall is consistent</w:t>
      </w:r>
      <w:r>
        <w:t xml:space="preserve"> </w:t>
      </w:r>
      <w:r>
        <w:t xml:space="preserve">with the per-axis attribution: resolution alone costs</w:t>
      </w:r>
      <w:r>
        <w:t xml:space="preserve"> </w:t>
      </w:r>
      <m:oMath>
        <m:r>
          <m:rPr>
            <m:sty m:val="p"/>
          </m:rPr>
          <m:t>−</m:t>
        </m:r>
        <m:r>
          <m:t>27</m:t>
        </m:r>
      </m:oMath>
      <w:r>
        <w:t xml:space="preserve"> percentage points at</w:t>
      </w:r>
      <w:r>
        <w:t xml:space="preserve"> </w:t>
      </w:r>
      <w:r>
        <w:t xml:space="preserve">L3 to L5, which exceeds the remaining headroom.</w:t>
      </w:r>
    </w:p>
    <w:p>
      <w:pPr>
        <w:pStyle w:val="BodyText"/>
      </w:pPr>
      <w:r>
        <w:rPr>
          <w:b/>
          <w:bCs/>
        </w:rPr>
        <w:t xml:space="preserve">Goal 2 (minimize the accuracy drop, target</w:t>
      </w:r>
      <w:r>
        <w:rPr>
          <w:b/>
          <w:bCs/>
        </w:rPr>
        <w:t xml:space="preserve"> </w:t>
      </w:r>
      <m:oMath>
        <m:r>
          <m:rPr>
            <m:sty m:val="p"/>
          </m:rPr>
          <m:t>≤</m:t>
        </m:r>
        <m:r>
          <m:t>15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percentage points).</w:t>
      </w:r>
      <w:r>
        <w:t xml:space="preserve"> </w:t>
      </w:r>
      <w:r>
        <w:rPr>
          <w:i/>
          <w:iCs/>
        </w:rPr>
        <w:t xml:space="preserve">Partially met.</w:t>
      </w:r>
      <w:r>
        <w:t xml:space="preserve"> </w:t>
      </w:r>
      <w:r>
        <w:t xml:space="preserve">The drop is bounded by 15 percentage points up to L2 on</w:t>
      </w:r>
      <w:r>
        <w:t xml:space="preserve"> </w:t>
      </w:r>
      <w:r>
        <w:t xml:space="preserve">CIFAR-10 and up to L3 on MNIST. Beyond those operating points the drop</w:t>
      </w:r>
      <w:r>
        <w:t xml:space="preserve"> </w:t>
      </w:r>
      <w:r>
        <w:t xml:space="preserve">grows monotonically with the degradation level, reaching</w:t>
      </w:r>
      <w:r>
        <w:t xml:space="preserve"> </w:t>
      </w:r>
      <m:oMath>
        <m:r>
          <m:rPr>
            <m:sty m:val="p"/>
          </m:rPr>
          <m:t>∼</m:t>
        </m:r>
        <m:r>
          <m:t>50</m:t>
        </m:r>
      </m:oMath>
      <w:r>
        <w:t xml:space="preserve"> </w:t>
      </w:r>
      <w:r>
        <w:t xml:space="preserve">percentage points at L5 on CIFAR-10.</w:t>
      </w:r>
    </w:p>
    <w:p>
      <w:pPr>
        <w:pStyle w:val="BodyText"/>
      </w:pPr>
      <w:r>
        <w:rPr>
          <w:b/>
          <w:bCs/>
        </w:rPr>
        <w:t xml:space="preserve">Goal 3 (identify the optimal architecture).</w:t>
      </w:r>
      <w:r>
        <w:t xml:space="preserve"> </w:t>
      </w:r>
      <w:r>
        <w:rPr>
          <w:i/>
          <w:iCs/>
        </w:rPr>
        <w:t xml:space="preserve">Partially met.</w:t>
      </w:r>
      <w:r>
        <w:t xml:space="preserve"> </w:t>
      </w:r>
      <w:r>
        <w:t xml:space="preserve">A statistically clear</w:t>
      </w:r>
      <w:r>
        <w:t xml:space="preserve"> </w:t>
      </w:r>
      <m:oMath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percentage points win for a</w:t>
      </w:r>
      <w:r>
        <w:t xml:space="preserve"> </w:t>
      </w:r>
      <w:r>
        <w:t xml:space="preserve">single architecture was not observed. DenseNet121 leads on most</w:t>
      </w:r>
      <w:r>
        <w:t xml:space="preserve"> </w:t>
      </w:r>
      <w:r>
        <w:t xml:space="preserve">CIFAR-10 L3 cells by 1 to 4 percentage points; TransNeXt-tiny leads on most MNIST</w:t>
      </w:r>
      <w:r>
        <w:t xml:space="preserve"> </w:t>
      </w:r>
      <w:r>
        <w:t xml:space="preserve">cells by 1 to 3 percentage points; the inter-architecture spread is comparable to</w:t>
      </w:r>
      <w:r>
        <w:t xml:space="preserve"> </w:t>
      </w:r>
      <w:r>
        <w:t xml:space="preserve">the multi-seed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in several cells. The honest reading of the</w:t>
      </w:r>
      <w:r>
        <w:t xml:space="preserve"> </w:t>
      </w:r>
      <w:r>
        <w:t xml:space="preserve">data is that the three architectures are within run-to-run noise of</w:t>
      </w:r>
      <w:r>
        <w:t xml:space="preserve"> </w:t>
      </w:r>
      <w:r>
        <w:t xml:space="preserve">each other at the operating points that matter, and that the choice of</w:t>
      </w:r>
      <w:r>
        <w:t xml:space="preserve"> </w:t>
      </w:r>
      <w:r>
        <w:t xml:space="preserve">architecture is secondary to the choice of degradation pipeline.</w:t>
      </w:r>
    </w:p>
    <w:p>
      <w:pPr>
        <w:pStyle w:val="BodyText"/>
      </w:pPr>
      <w:r>
        <w:rPr>
          <w:b/>
          <w:bCs/>
        </w:rPr>
        <w:t xml:space="preserve">Goal 4 (feasibility for edge implementation).</w:t>
      </w:r>
      <w:r>
        <w:t xml:space="preserve"> </w:t>
      </w:r>
      <w:r>
        <w:rPr>
          <w:i/>
          <w:iCs/>
        </w:rPr>
        <w:t xml:space="preserve">Met for the CNN backbones, marginal for TransNeXt-tiny.</w:t>
      </w:r>
      <w:r>
        <w:t xml:space="preserve"> </w:t>
      </w:r>
      <w:r>
        <w:t xml:space="preserve">Both</w:t>
      </w:r>
      <w:r>
        <w:t xml:space="preserve"> </w:t>
      </w:r>
      <w:r>
        <w:t xml:space="preserve">ResNet50 and DenseNet121 sit comfortably under the 50 ms per image</w:t>
      </w:r>
      <w:r>
        <w:t xml:space="preserve"> </w:t>
      </w:r>
      <w:r>
        <w:t xml:space="preserve">budget at</w:t>
      </w:r>
      <w:r>
        <w:t xml:space="preserve"> </w:t>
      </w:r>
      <w:r>
        <w:rPr>
          <w:rStyle w:val="VerbatimChar"/>
        </w:rPr>
        <w:t xml:space="preserve">bf16-mixed</w:t>
      </w:r>
      <w:r>
        <w:t xml:space="preserve"> </w:t>
      </w:r>
      <w:r>
        <w:t xml:space="preserve">precision. TransNeXt-tiny is</w:t>
      </w:r>
      <w:r>
        <w:t xml:space="preserve"> </w:t>
      </w:r>
      <m:oMath>
        <m:r>
          <m:rPr>
            <m:sty m:val="p"/>
          </m:rPr>
          <m:t>∼</m:t>
        </m:r>
        <m:r>
          <m:t>30</m:t>
        </m:r>
      </m:oMath>
      <w:r>
        <w:t xml:space="preserve"> </w:t>
      </w:r>
      <w:r>
        <w:t xml:space="preserve">ms</w:t>
      </w:r>
      <w:r>
        <w:t xml:space="preserve"> </w:t>
      </w:r>
      <w:r>
        <w:t xml:space="preserve">per image with</w:t>
      </w:r>
      <w:r>
        <w:t xml:space="preserve"> </w:t>
      </w:r>
      <w:r>
        <w:rPr>
          <w:rStyle w:val="VerbatimChar"/>
        </w:rPr>
        <w:t xml:space="preserve">torch.compile</w:t>
      </w:r>
      <w:r>
        <w:t xml:space="preserve"> </w:t>
      </w:r>
      <w:r>
        <w:t xml:space="preserve">disabled; enabling the graph</w:t>
      </w:r>
      <w:r>
        <w:t xml:space="preserve"> </w:t>
      </w:r>
      <w:r>
        <w:t xml:space="preserve">compiler (currently blocked by the foveal-attention path) would</w:t>
      </w:r>
      <w:r>
        <w:t xml:space="preserve"> </w:t>
      </w:r>
      <w:r>
        <w:t xml:space="preserve">likely halve the figure.</w:t>
      </w:r>
    </w:p>
    <w:bookmarkEnd w:id="233"/>
    <w:bookmarkStart w:id="234" w:name="strengths-of-the-chosen-approach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Strengths of the chosen approach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Fair-comparison invariant.</w:t>
      </w:r>
      <w:r>
        <w:t xml:space="preserve">All three backbones see</w:t>
      </w:r>
      <w:r>
        <w:t xml:space="preserve"> </w:t>
      </w:r>
      <w:r>
        <w:t xml:space="preserve">the same tensor shape (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) and the same training</w:t>
      </w:r>
      <w:r>
        <w:t xml:space="preserve"> </w:t>
      </w:r>
      <w:r>
        <w:t xml:space="preserve">recipe (modulo the per-paper LR convention), so the cross-backbone</w:t>
      </w:r>
      <w:r>
        <w:t xml:space="preserve"> </w:t>
      </w:r>
      <w:r>
        <w:t xml:space="preserve">deltas are interpretable.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Deterministic degradation.</w:t>
      </w:r>
      <w:r>
        <w:t xml:space="preserve">The byte-identity gate</w:t>
      </w:r>
      <w:r>
        <w:t xml:space="preserve"> </w:t>
      </w:r>
      <w:r>
        <w:t xml:space="preserve">across seeds</w:t>
      </w:r>
      <w:r>
        <w:t xml:space="preserve"> </w:t>
      </w:r>
      <m:oMath>
        <m:r>
          <m:rPr>
            <m:sty m:val="p"/>
          </m:rPr>
          <m:t>{</m:t>
        </m:r>
        <m:r>
          <m:t>42</m:t>
        </m:r>
        <m:r>
          <m:rPr>
            <m:sty m:val="p"/>
          </m:rPr>
          <m:t>,</m:t>
        </m:r>
        <m:r>
          <m:t>43</m:t>
        </m:r>
        <m:r>
          <m:rPr>
            <m:sty m:val="p"/>
          </m:rPr>
          <m:t>,</m:t>
        </m:r>
        <m:r>
          <m:t>44</m:t>
        </m:r>
        <m:r>
          <m:rPr>
            <m:sty m:val="p"/>
          </m:rPr>
          <m:t>}</m:t>
        </m:r>
      </m:oMath>
      <w:r>
        <w:t xml:space="preserve"> </w:t>
      </w:r>
      <w:r>
        <w:t xml:space="preserve">means that the cross-phase deltas</w:t>
      </w:r>
      <w:r>
        <w:t xml:space="preserve"> </w:t>
      </w:r>
      <w:r>
        <w:t xml:space="preserve">are not contaminated by data-side stochasticity.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Per-pipeline image-quality anchor.</w:t>
      </w:r>
      <w:r>
        <w:t xml:space="preserve">PSNR / SSIM</w:t>
      </w:r>
      <w:r>
        <w:t xml:space="preserve"> </w:t>
      </w:r>
      <w:r>
        <w:t xml:space="preserve">per pipeline grounds the comparison in a physical scale; the</w:t>
      </w:r>
      <w:r>
        <w:t xml:space="preserve"> </w:t>
      </w:r>
      <w:r>
        <w:t xml:space="preserve">Spearman rank correlations against accuracy (Figures</w:t>
      </w:r>
      <w:r>
        <w:t xml:space="preserve"> </w:t>
      </w:r>
      <w:hyperlink w:anchor="fig:acc_vs_psnr">
        <w:r>
          <w:rPr>
            <w:rStyle w:val="Hyperlink"/>
          </w:rPr>
          <w:t xml:space="preserve">8</w:t>
        </w:r>
      </w:hyperlink>
      <w:r>
        <w:t xml:space="preserve">,</w:t>
      </w:r>
      <w:r>
        <w:t xml:space="preserve"> </w:t>
      </w:r>
      <w:hyperlink w:anchor="fig:acc_vs_ssim">
        <w:r>
          <w:rPr>
            <w:rStyle w:val="Hyperlink"/>
          </w:rPr>
          <w:t xml:space="preserve">9</w:t>
        </w:r>
      </w:hyperlink>
      <w:r>
        <w:t xml:space="preserve">) are strong.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Multi-seed audit.</w:t>
      </w:r>
      <w:r>
        <w:t xml:space="preserve">The</w:t>
      </w:r>
      <w:r>
        <w:t xml:space="preserve"> </w:t>
      </w:r>
      <m:oMath>
        <m:r>
          <m:t>σ</m:t>
        </m:r>
        <m:r>
          <m:rPr>
            <m:sty m:val="p"/>
          </m:rPr>
          <m:t>&lt;</m:t>
        </m:r>
        <m:r>
          <m:t>1.5</m:t>
        </m:r>
      </m:oMath>
      <w:r>
        <w:t xml:space="preserve"> </w:t>
      </w:r>
      <w:r>
        <w:t xml:space="preserve">percentage points</w:t>
      </w:r>
      <w:r>
        <w:t xml:space="preserve"> </w:t>
      </w:r>
      <w:r>
        <w:t xml:space="preserve">bound on every L3 headline cell makes the cross-phase</w:t>
      </w:r>
      <w:r>
        <w:t xml:space="preserve"> </w:t>
      </w:r>
      <w:r>
        <w:t xml:space="preserve">deltas interpretable.</w:t>
      </w:r>
    </w:p>
    <w:bookmarkEnd w:id="234"/>
    <w:bookmarkStart w:id="235" w:name="weaknesses-of-the-chosen-approach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Weaknesses of the chosen approach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Synthetic degradation is not real THz.</w:t>
      </w:r>
      <w:r>
        <w:t xml:space="preserve">The</w:t>
      </w:r>
      <w:r>
        <w:t xml:space="preserve"> </w:t>
      </w:r>
      <w:r>
        <w:t xml:space="preserve">five-axis pipeline is a mathematical model. Real THz physics</w:t>
      </w:r>
      <w:r>
        <w:t xml:space="preserve"> </w:t>
      </w:r>
      <w:r>
        <w:t xml:space="preserve">includes wavelength-dependent diffraction, mixing-element</w:t>
      </w:r>
      <w:r>
        <w:t xml:space="preserve"> </w:t>
      </w:r>
      <w:r>
        <w:t xml:space="preserve">nonlinearity, and detector-array dead pixels that the model</w:t>
      </w:r>
      <w:r>
        <w:t xml:space="preserve"> </w:t>
      </w:r>
      <w:r>
        <w:t xml:space="preserve">does not capture. The conclusions transfer only to the extent</w:t>
      </w:r>
      <w:r>
        <w:t xml:space="preserve"> </w:t>
      </w:r>
      <w:r>
        <w:t xml:space="preserve">that those secondary effects are dominated by the modeled</w:t>
      </w:r>
      <w:r>
        <w:t xml:space="preserve"> </w:t>
      </w:r>
      <w:r>
        <w:t xml:space="preserve">axes.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Two small datasets.</w:t>
      </w:r>
      <w:r>
        <w:t xml:space="preserve">CIFAR-10 and MNIST are</w:t>
      </w:r>
      <w:r>
        <w:t xml:space="preserve"> </w:t>
      </w:r>
      <w:r>
        <w:t xml:space="preserve">small-scale benchmarks. The generalization of the per-axis</w:t>
      </w:r>
      <w:r>
        <w:t xml:space="preserve"> </w:t>
      </w:r>
      <w:r>
        <w:t xml:space="preserve">attribution to ImageNet-scale or to THz-domain object</w:t>
      </w:r>
      <w:r>
        <w:t xml:space="preserve"> </w:t>
      </w:r>
      <w:r>
        <w:t xml:space="preserve">categories was not tested.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No real super-resolution baseline.</w:t>
      </w:r>
      <w:r>
        <w:t xml:space="preserve">The project</w:t>
      </w:r>
      <w:r>
        <w:t xml:space="preserve"> </w:t>
      </w:r>
      <w:r>
        <w:t xml:space="preserve">evaluated training-time degradation exposure exclusively. A</w:t>
      </w:r>
      <w:r>
        <w:t xml:space="preserve"> </w:t>
      </w:r>
      <w:r>
        <w:t xml:space="preserve">super-resolution baseline (a hypothetical Phase E) was scoped</w:t>
      </w:r>
      <w:r>
        <w:t xml:space="preserve"> </w:t>
      </w:r>
      <w:r>
        <w:t xml:space="preserve">out at PDR for cost reasons. Without it the</w:t>
      </w:r>
      <w:r>
        <w:t xml:space="preserve"> </w:t>
      </w:r>
      <w:r>
        <w:t xml:space="preserve">attribution-driven recommendation (invest in resolution</w:t>
      </w:r>
      <w:r>
        <w:t xml:space="preserve"> </w:t>
      </w:r>
      <w:r>
        <w:t xml:space="preserve">restoration first) cannot be quantitatively compared</w:t>
      </w:r>
      <w:r>
        <w:t xml:space="preserve"> </w:t>
      </w:r>
      <w:r>
        <w:t xml:space="preserve">against a real restoration pipeline.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No human-perception baseline.</w:t>
      </w:r>
      <w:r>
        <w:t xml:space="preserve">The acceptance</w:t>
      </w:r>
      <w:r>
        <w:t xml:space="preserve"> </w:t>
      </w:r>
      <w:r>
        <w:t xml:space="preserve">criteria are model-side; a human upper bound (the percentage</w:t>
      </w:r>
      <w:r>
        <w:t xml:space="preserve"> </w:t>
      </w:r>
      <w:r>
        <w:t xml:space="preserve">of L5 images a human reader can classify correctly) would</w:t>
      </w:r>
      <w:r>
        <w:t xml:space="preserve"> </w:t>
      </w:r>
      <w:r>
        <w:t xml:space="preserve">contextualize the</w:t>
      </w:r>
      <w:r>
        <w:t xml:space="preserve"> </w:t>
      </w:r>
      <m:oMath>
        <m:r>
          <m:rPr>
            <m:sty m:val="p"/>
          </m:rPr>
          <m:t>∼</m:t>
        </m:r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CIFAR-10 L5 ceiling.</w:t>
      </w:r>
    </w:p>
    <w:bookmarkEnd w:id="235"/>
    <w:bookmarkStart w:id="236" w:name="recommendations-for-continuation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Recommendations for continuation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Acquire real THz data.</w:t>
      </w:r>
      <w:r>
        <w:t xml:space="preserve">The synthetic pipeline is</w:t>
      </w:r>
      <w:r>
        <w:t xml:space="preserve"> </w:t>
      </w:r>
      <w:r>
        <w:t xml:space="preserve">a proxy; a small real-world dataset (even 1000 images) at the</w:t>
      </w:r>
      <w:r>
        <w:t xml:space="preserve"> </w:t>
      </w:r>
      <w:r>
        <w:t xml:space="preserve">target deployment frequency would let the next iteration</w:t>
      </w:r>
      <w:r>
        <w:t xml:space="preserve"> </w:t>
      </w:r>
      <w:r>
        <w:t xml:space="preserve">calibrate the synthetic model against ground truth and</w:t>
      </w:r>
      <w:r>
        <w:t xml:space="preserve"> </w:t>
      </w:r>
      <w:r>
        <w:t xml:space="preserve">renormalize the per-axis attribution.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Add a super-resolution pre-stage.</w:t>
      </w:r>
      <w:r>
        <w:t xml:space="preserve">Given that</w:t>
      </w:r>
      <w:r>
        <w:t xml:space="preserve"> </w:t>
      </w:r>
      <w:r>
        <w:t xml:space="preserve">resolution dominates the per-axis attribution by</w:t>
      </w:r>
      <w:r>
        <w:t xml:space="preserve"> </w:t>
      </w:r>
      <m:oMath>
        <m:r>
          <m:rPr>
            <m:sty m:val="p"/>
          </m:rPr>
          <m:t>∼</m:t>
        </m:r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(Phase C2), the next ablation should add a learned upsampler</w:t>
      </w:r>
      <w:r>
        <w:t xml:space="preserve"> </w:t>
      </w:r>
      <w:r>
        <w:t xml:space="preserve">in front of each backbone and re-run Phase B2 / C2 with the</w:t>
      </w:r>
      <w:r>
        <w:t xml:space="preserve"> </w:t>
      </w:r>
      <w:r>
        <w:t xml:space="preserve">new front end.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Enable graph compilation for TransNeXt.</w:t>
      </w:r>
      <w:r>
        <w:t xml:space="preserve">The</w:t>
      </w:r>
      <w:r>
        <w:t xml:space="preserve"> </w:t>
      </w:r>
      <w:r>
        <w:t xml:space="preserve">foveal-attention path is currently not</w:t>
      </w:r>
      <w:r>
        <w:t xml:space="preserve"> </w:t>
      </w:r>
      <w:r>
        <w:t xml:space="preserve">Inductor-graph-capturable; rewriting it as a compiled custom</w:t>
      </w:r>
      <w:r>
        <w:t xml:space="preserve"> </w:t>
      </w:r>
      <w:r>
        <w:t xml:space="preserve">op would likely halve the inference latency and bring the</w:t>
      </w:r>
      <w:r>
        <w:t xml:space="preserve"> </w:t>
      </w:r>
      <w:r>
        <w:t xml:space="preserve">TransNeXt backbone inside the 25 ms per image budget.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Robustness benchmark reproduction.</w:t>
      </w:r>
      <w:r>
        <w:t xml:space="preserve">Reproduce</w:t>
      </w:r>
      <w:r>
        <w:t xml:space="preserve"> </w:t>
      </w:r>
      <w:r>
        <w:t xml:space="preserve">the per-axis attribution on the ImageNet-A robustness</w:t>
      </w:r>
      <w:r>
        <w:t xml:space="preserve"> </w:t>
      </w:r>
      <w:r>
        <w:t xml:space="preserve">benchmark</w:t>
      </w:r>
      <w:r>
        <w:t xml:space="preserve"> </w:t>
      </w:r>
      <w:r>
        <w:t xml:space="preserve">(Hendrycks et al. 2021)</w:t>
      </w:r>
      <w:r>
        <w:t xml:space="preserve"> </w:t>
      </w:r>
      <w:r>
        <w:t xml:space="preserve">to test whether the</w:t>
      </w:r>
      <w:r>
        <w:t xml:space="preserve"> </w:t>
      </w:r>
      <w:r>
        <w:t xml:space="preserve">resolution-dominant finding holds at full ImageNet scale.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Calibration intervention.</w:t>
      </w:r>
      <w:r>
        <w:t xml:space="preserve">The ECE growth from</w:t>
      </w:r>
      <w:r>
        <w:t xml:space="preserve"> </w:t>
      </w:r>
      <m:oMath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percentage points at L3 to</w:t>
      </w:r>
      <w:r>
        <w:t xml:space="preserve"> </w:t>
      </w:r>
      <m:oMath>
        <m:r>
          <m:rPr>
            <m:sty m:val="p"/>
          </m:rPr>
          <m:t>&gt;</m:t>
        </m:r>
        <m:r>
          <m:t>15</m:t>
        </m:r>
      </m:oMath>
      <w:r>
        <w:t xml:space="preserve"> </w:t>
      </w:r>
      <w:r>
        <w:t xml:space="preserve">percentage points at L5 indicates that a</w:t>
      </w:r>
      <w:r>
        <w:t xml:space="preserve"> </w:t>
      </w:r>
      <w:r>
        <w:t xml:space="preserve">post-hoc calibration step (temperature scaling) would</w:t>
      </w:r>
      <w:r>
        <w:t xml:space="preserve"> </w:t>
      </w:r>
      <w:r>
        <w:t xml:space="preserve">improve the operational usefulness of the predictions</w:t>
      </w:r>
      <w:r>
        <w:t xml:space="preserve"> </w:t>
      </w:r>
      <w:r>
        <w:t xml:space="preserve">without affecting top-1 accuracy.</w:t>
      </w:r>
    </w:p>
    <w:bookmarkEnd w:id="236"/>
    <w:bookmarkStart w:id="238" w:name="cost-summary"/>
    <w:p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Cost summary</w:t>
      </w:r>
    </w:p>
    <w:p>
      <w:pPr>
        <w:pStyle w:val="FirstParagraph"/>
      </w:pPr>
      <w:r>
        <w:t xml:space="preserve">The actual operating cost of the campaign was dominated by GPU-hours</w:t>
      </w:r>
      <w:r>
        <w:t xml:space="preserve"> </w:t>
      </w:r>
      <w:r>
        <w:t xml:space="preserve">rather than by hardware or licensing. Table</w:t>
      </w:r>
      <w:r>
        <w:t xml:space="preserve"> </w:t>
      </w:r>
      <w:hyperlink w:anchor="tab:cost">
        <w:r>
          <w:rPr>
            <w:rStyle w:val="Hyperlink"/>
          </w:rPr>
          <w:t xml:space="preserve">16</w:t>
        </w:r>
      </w:hyperlink>
      <w:r>
        <w:t xml:space="preserve"> </w:t>
      </w:r>
      <w:r>
        <w:t xml:space="preserve">reports the</w:t>
      </w:r>
      <w:r>
        <w:t xml:space="preserve"> </w:t>
      </w:r>
      <w:r>
        <w:t xml:space="preserve">final budget. Operator-side hours are theoretical (NIS-equivalent of the</w:t>
      </w:r>
      <w:r>
        <w:t xml:space="preserve"> </w:t>
      </w:r>
      <w:r>
        <w:t xml:space="preserve">student-engineer market rate); they do not appear in the cash budget for</w:t>
      </w:r>
      <w:r>
        <w:t xml:space="preserve"> </w:t>
      </w:r>
      <w:r>
        <w:t xml:space="preserve">this project.</w:t>
      </w:r>
    </w:p>
    <w:bookmarkStart w:id="237" w:name="tab:cost"/>
    <w:p>
      <w:pPr>
        <w:pStyle w:val="TableCaption"/>
      </w:pPr>
      <w:r>
        <w:t xml:space="preserve">Final cost summary (NIS-equivalent, supervisor signature required for submission).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l cost summary (NIS-equivalent, supervisor signature required for submission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 (NIS)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engineer hours (2 students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300 h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60 NIS/h, theoretical)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36 000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 hours (2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30 h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250 NIS/h, theoretical)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15 000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compute (local RTX 5070,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 </w:t>
            </w:r>
            <w:r>
              <w:t xml:space="preserve">56.5 +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 </w:t>
            </w:r>
            <w:r>
              <w:t xml:space="preserve">48 +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 </w:t>
            </w:r>
            <w:r>
              <w:t xml:space="preserve">24 GPU-hours)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(local)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GPU fallback budget (Colab Pro+, 8 months)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supplies and storage media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51 900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Overhead (25%)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12 975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 (10%)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5 190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 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70 065</w:t>
            </w:r>
          </w:p>
        </w:tc>
      </w:tr>
    </w:tbl>
    <w:bookmarkEnd w:id="237"/>
    <w:p>
      <w:pPr>
        <w:pStyle w:val="BodyText"/>
      </w:pPr>
      <w:r>
        <w:rPr>
          <w:i/>
          <w:iCs/>
        </w:rPr>
        <w:t xml:space="preserve">Supervisor signature.Date.</w:t>
      </w:r>
    </w:p>
    <w:bookmarkEnd w:id="238"/>
    <w:bookmarkEnd w:id="239"/>
    <w:bookmarkStart w:id="240" w:name="app:listing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Source listings</w:t>
      </w:r>
    </w:p>
    <w:p>
      <w:pPr>
        <w:pStyle w:val="FirstParagraph"/>
      </w:pPr>
      <w:r>
        <w:t xml:space="preserve">The single source of truth for the five-level degradation schedule is the</w:t>
      </w:r>
      <w:r>
        <w:t xml:space="preserve"> </w:t>
      </w:r>
      <w:r>
        <w:t xml:space="preserve">following Python module (excerpt). The full file is at</w:t>
      </w:r>
      <w:r>
        <w:t xml:space="preserve"> </w:t>
      </w:r>
      <w:r>
        <w:rPr>
          <w:rStyle w:val="VerbatimChar"/>
        </w:rPr>
        <w:t xml:space="preserve">src/data/degradation_levels.py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DEGRADATION_LEVELS = {</w:t>
      </w:r>
      <w:r>
        <w:br/>
      </w:r>
      <w:r>
        <w:rPr>
          <w:rStyle w:val="VerbatimChar"/>
        </w:rPr>
        <w:t xml:space="preserve">    1: {"low_res": 18, "blur_kernel": 13, "blur_sigma":  2.50,</w:t>
      </w:r>
      <w:r>
        <w:br/>
      </w:r>
      <w:r>
        <w:rPr>
          <w:rStyle w:val="VerbatimChar"/>
        </w:rPr>
        <w:t xml:space="preserve">        "noise_std": 0.04, "salt_pepper": 0.03, "saturation": 0.95},</w:t>
      </w:r>
      <w:r>
        <w:br/>
      </w:r>
      <w:r>
        <w:rPr>
          <w:rStyle w:val="VerbatimChar"/>
        </w:rPr>
        <w:t xml:space="preserve">    2: {"low_res": 12, "blur_kernel": 25, "blur_sigma":  5.00,</w:t>
      </w:r>
      <w:r>
        <w:br/>
      </w:r>
      <w:r>
        <w:rPr>
          <w:rStyle w:val="VerbatimChar"/>
        </w:rPr>
        <w:t xml:space="preserve">        "noise_std": 0.08, "salt_pepper": 0.06, "saturation": 0.65},</w:t>
      </w:r>
      <w:r>
        <w:br/>
      </w:r>
      <w:r>
        <w:rPr>
          <w:rStyle w:val="VerbatimChar"/>
        </w:rPr>
        <w:t xml:space="preserve">    3: {"low_res":  8, "blur_kernel": 41, "blur_sigma":  8.00,</w:t>
      </w:r>
      <w:r>
        <w:br/>
      </w:r>
      <w:r>
        <w:rPr>
          <w:rStyle w:val="VerbatimChar"/>
        </w:rPr>
        <w:t xml:space="preserve">        "noise_std": 0.12, "salt_pepper": 0.10, "saturation": 0.40},</w:t>
      </w:r>
      <w:r>
        <w:br/>
      </w:r>
      <w:r>
        <w:rPr>
          <w:rStyle w:val="VerbatimChar"/>
        </w:rPr>
        <w:t xml:space="preserve">    4: {"low_res":  6, "blur_kernel": 61, "blur_sigma": 12.00,</w:t>
      </w:r>
      <w:r>
        <w:br/>
      </w:r>
      <w:r>
        <w:rPr>
          <w:rStyle w:val="VerbatimChar"/>
        </w:rPr>
        <w:t xml:space="preserve">        "noise_std": 0.16, "salt_pepper": 0.14, "saturation": 0.15},</w:t>
      </w:r>
      <w:r>
        <w:br/>
      </w:r>
      <w:r>
        <w:rPr>
          <w:rStyle w:val="VerbatimChar"/>
        </w:rPr>
        <w:t xml:space="preserve">    5: {"low_res":  3, "blur_kernel": 91, "blur_sigma": 18.00,</w:t>
      </w:r>
      <w:r>
        <w:br/>
      </w:r>
      <w:r>
        <w:rPr>
          <w:rStyle w:val="VerbatimChar"/>
        </w:rPr>
        <w:t xml:space="preserve">        "noise_std": 0.22, "salt_pepper": 0.18, "saturation": 0.00},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full pipeline source code is in</w:t>
      </w:r>
      <w:r>
        <w:t xml:space="preserve"> </w:t>
      </w:r>
      <w:r>
        <w:rPr>
          <w:rStyle w:val="VerbatimChar"/>
        </w:rPr>
        <w:t xml:space="preserve">src/data/degrade.py</w:t>
      </w:r>
      <w:r>
        <w:t xml:space="preserve">; the</w:t>
      </w:r>
      <w:r>
        <w:t xml:space="preserve"> </w:t>
      </w:r>
      <w:r>
        <w:t xml:space="preserve">training engine is under</w:t>
      </w:r>
      <w:r>
        <w:t xml:space="preserve"> </w:t>
      </w:r>
      <w:r>
        <w:rPr>
          <w:rStyle w:val="VerbatimChar"/>
        </w:rPr>
        <w:t xml:space="preserve">src/lightning/</w:t>
      </w:r>
      <w:r>
        <w:t xml:space="preserve">; the campaign drivers are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</w:p>
    <w:bookmarkEnd w:id="240"/>
    <w:bookmarkStart w:id="260" w:name="app:ip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Honoring intellectual property rights</w:t>
      </w:r>
    </w:p>
    <w:p>
      <w:pPr>
        <w:pStyle w:val="FirstParagraph"/>
      </w:pPr>
      <w:r>
        <w:t xml:space="preserve">Per BGU regulation Appendix 12.2, the project team affirms that this work</w:t>
      </w:r>
      <w:r>
        <w:t xml:space="preserve"> </w:t>
      </w:r>
      <w:r>
        <w:t xml:space="preserve">does not incorporate copyrighted material (text, images, audio, video,</w:t>
      </w:r>
      <w:r>
        <w:t xml:space="preserve"> </w:t>
      </w:r>
      <w:r>
        <w:t xml:space="preserve">software, hardware, or circuit designs) without explicit prior</w:t>
      </w:r>
      <w:r>
        <w:t xml:space="preserve"> </w:t>
      </w:r>
      <w:r>
        <w:t xml:space="preserve">authorization from the copyright holder. Every figure, table, and</w:t>
      </w:r>
      <w:r>
        <w:t xml:space="preserve"> </w:t>
      </w:r>
      <w:r>
        <w:t xml:space="preserve">equation in this report is either original work produced by the project</w:t>
      </w:r>
      <w:r>
        <w:t xml:space="preserve"> </w:t>
      </w:r>
      <w:r>
        <w:t xml:space="preserve">team from the campaign data, or is reproduced from a cited source with</w:t>
      </w:r>
      <w:r>
        <w:t xml:space="preserve"> </w:t>
      </w:r>
      <w:r>
        <w:t xml:space="preserve">the source listed in the references.</w:t>
      </w:r>
    </w:p>
    <w:p>
      <w:pPr>
        <w:pStyle w:val="BodyText"/>
      </w:pPr>
      <w:r>
        <w:rPr>
          <w:i/>
          <w:iCs/>
        </w:rPr>
        <w:t xml:space="preserve">Signed.Bahat ItamarDate.</w:t>
      </w:r>
      <w:r>
        <w:br/>
      </w:r>
      <w:r>
        <w:rPr>
          <w:i/>
          <w:iCs/>
        </w:rPr>
        <w:t xml:space="preserve">Signed.Dotan Ann HannaDate.</w:t>
      </w:r>
    </w:p>
    <w:bookmarkStart w:id="259" w:name="refs"/>
    <w:bookmarkStart w:id="241" w:name="ref-falcon2019lightning"/>
    <w:p>
      <w:pPr>
        <w:pStyle w:val="Bibliography"/>
      </w:pPr>
      <w:r>
        <w:t xml:space="preserve">Falcon, William et al.</w:t>
      </w:r>
      <w:r>
        <w:t xml:space="preserve"> 2019.</w:t>
      </w:r>
      <w:r>
        <w:t xml:space="preserve"> </w:t>
      </w:r>
      <w:r>
        <w:rPr>
          <w:i/>
          <w:iCs/>
        </w:rPr>
        <w:t xml:space="preserve">PyTorch Lightning</w:t>
      </w:r>
      <w:r>
        <w:t xml:space="preserve">. GitHub repository:</w:t>
      </w:r>
      <w:r>
        <w:t xml:space="preserve"> </w:t>
      </w:r>
      <w:r>
        <w:rPr>
          <w:rStyle w:val="VerbatimChar"/>
        </w:rPr>
        <w:t xml:space="preserve">Lightning-AI/lightning</w:t>
      </w:r>
      <w:r>
        <w:t xml:space="preserve">.</w:t>
      </w:r>
    </w:p>
    <w:bookmarkEnd w:id="241"/>
    <w:bookmarkStart w:id="242" w:name="ref-guo2017oncalibration"/>
    <w:p>
      <w:pPr>
        <w:pStyle w:val="Bibliography"/>
      </w:pPr>
      <w:r>
        <w:t xml:space="preserve">Guo, Chuan, Geoff Pleiss, Yu Sun, and Kilian Q. Weinberger. 2017.</w:t>
      </w:r>
      <w:r>
        <w:t xml:space="preserve"> </w:t>
      </w:r>
      <w:r>
        <w:t xml:space="preserve">“On Calibration of Modern Neural Networks.”</w:t>
      </w:r>
      <w:r>
        <w:t xml:space="preserve"> </w:t>
      </w:r>
      <w:r>
        <w:rPr>
          <w:i/>
          <w:iCs/>
        </w:rPr>
        <w:t xml:space="preserve">Proc. Int. Conf. On Machine Learning (ICML)</w:t>
      </w:r>
      <w:r>
        <w:t xml:space="preserve">.</w:t>
      </w:r>
    </w:p>
    <w:bookmarkEnd w:id="242"/>
    <w:bookmarkStart w:id="243" w:name="ref-he2016resnet"/>
    <w:p>
      <w:pPr>
        <w:pStyle w:val="Bibliography"/>
      </w:pPr>
      <w:r>
        <w:t xml:space="preserve">He, Kaiming, Xiangyu Zhang, Shaoqing Ren, and Jian Sun. 2016.</w:t>
      </w:r>
      <w:r>
        <w:t xml:space="preserve"> </w:t>
      </w:r>
      <w:r>
        <w:t xml:space="preserve">“Deep Residual Learning for Image Recognition.”</w:t>
      </w:r>
      <w:r>
        <w:t xml:space="preserve"> </w:t>
      </w:r>
      <w:r>
        <w:rPr>
          <w:i/>
          <w:iCs/>
        </w:rPr>
        <w:t xml:space="preserve">Proc. IEEE Conf. On Computer Vision and Pattern Recognition (CVPR)</w:t>
      </w:r>
      <w:r>
        <w:t xml:space="preserve">, 770-78.</w:t>
      </w:r>
    </w:p>
    <w:bookmarkEnd w:id="243"/>
    <w:bookmarkStart w:id="244" w:name="ref-hendrycks2021naturaladv"/>
    <w:p>
      <w:pPr>
        <w:pStyle w:val="Bibliography"/>
      </w:pPr>
      <w:r>
        <w:t xml:space="preserve">Hendrycks, Dan, Kevin Zhao, Steven Basart, Jacob Steinhardt, and Dawn Song. 2021.</w:t>
      </w:r>
      <w:r>
        <w:t xml:space="preserve"> </w:t>
      </w:r>
      <w:r>
        <w:t xml:space="preserve">“Natural Adversarial Examples.”</w:t>
      </w:r>
      <w:r>
        <w:t xml:space="preserve"> </w:t>
      </w:r>
      <w:r>
        <w:rPr>
          <w:i/>
          <w:iCs/>
        </w:rPr>
        <w:t xml:space="preserve">Proc. IEEE Conf. On Computer Vision and Pattern Recognition (CVPR)</w:t>
      </w:r>
      <w:r>
        <w:t xml:space="preserve">.</w:t>
      </w:r>
    </w:p>
    <w:bookmarkEnd w:id="244"/>
    <w:bookmarkStart w:id="245" w:name="ref-huang2017densenet"/>
    <w:p>
      <w:pPr>
        <w:pStyle w:val="Bibliography"/>
      </w:pPr>
      <w:r>
        <w:t xml:space="preserve">Huang, Gao, Zhuang Liu, Laurens van der Maaten, and Kilian Q. Weinberger. 2017.</w:t>
      </w:r>
      <w:r>
        <w:t xml:space="preserve"> </w:t>
      </w:r>
      <w:r>
        <w:t xml:space="preserve">“Densely Connected Convolutional Networks.”</w:t>
      </w:r>
      <w:r>
        <w:t xml:space="preserve"> </w:t>
      </w:r>
      <w:r>
        <w:rPr>
          <w:i/>
          <w:iCs/>
        </w:rPr>
        <w:t xml:space="preserve">Proc. IEEE Conf. On Computer Vision and Pattern Recognition (CVPR)</w:t>
      </w:r>
      <w:r>
        <w:t xml:space="preserve">, 2261-69.</w:t>
      </w:r>
    </w:p>
    <w:bookmarkEnd w:id="245"/>
    <w:bookmarkStart w:id="246" w:name="ref-huang2016stochastic"/>
    <w:p>
      <w:pPr>
        <w:pStyle w:val="Bibliography"/>
      </w:pPr>
      <w:r>
        <w:t xml:space="preserve">Huang, Gao, Yu Sun, Zhuang Liu, Daniel Sedra, and Kilian Q. Weinberger. 2016.</w:t>
      </w:r>
      <w:r>
        <w:t xml:space="preserve"> </w:t>
      </w:r>
      <w:r>
        <w:t xml:space="preserve">“Deep Networks with Stochastic Depth.”</w:t>
      </w:r>
      <w:r>
        <w:t xml:space="preserve"> </w:t>
      </w:r>
      <w:r>
        <w:rPr>
          <w:i/>
          <w:iCs/>
        </w:rPr>
        <w:t xml:space="preserve">Proc. European Conf. On Computer Vision (ECCV)</w:t>
      </w:r>
      <w:r>
        <w:t xml:space="preserve">.</w:t>
      </w:r>
    </w:p>
    <w:bookmarkEnd w:id="246"/>
    <w:bookmarkStart w:id="247" w:name="ref-huynh2008psnr"/>
    <w:p>
      <w:pPr>
        <w:pStyle w:val="Bibliography"/>
      </w:pPr>
      <w:r>
        <w:t xml:space="preserve">Huynh-Thu, Quan, and Mohammed Ghanbari. 2008.</w:t>
      </w:r>
      <w:r>
        <w:t xml:space="preserve"> </w:t>
      </w:r>
      <w:r>
        <w:t xml:space="preserve">“Scope of Validity of</w:t>
      </w:r>
      <w:r>
        <w:t xml:space="preserve"> </w:t>
      </w:r>
      <w:r>
        <w:t xml:space="preserve">PSNR</w:t>
      </w:r>
      <w:r>
        <w:t xml:space="preserve"> </w:t>
      </w:r>
      <w:r>
        <w:t xml:space="preserve">in Image/Video Quality Assessment.”</w:t>
      </w:r>
      <w:r>
        <w:t xml:space="preserve"> </w:t>
      </w:r>
      <w:r>
        <w:rPr>
          <w:i/>
          <w:iCs/>
        </w:rPr>
        <w:t xml:space="preserve">Electronics Letters</w:t>
      </w:r>
      <w:r>
        <w:t xml:space="preserve"> </w:t>
      </w:r>
      <w:r>
        <w:t xml:space="preserve">44 (13): 800-801.</w:t>
      </w:r>
    </w:p>
    <w:bookmarkEnd w:id="247"/>
    <w:bookmarkStart w:id="248" w:name="ref-krizhevsky2009cifar10"/>
    <w:p>
      <w:pPr>
        <w:pStyle w:val="Bibliography"/>
      </w:pPr>
      <w:r>
        <w:t xml:space="preserve">Krizhevsky, Alex. 2009.</w:t>
      </w:r>
      <w:r>
        <w:t xml:space="preserve"> </w:t>
      </w:r>
      <w:r>
        <w:rPr>
          <w:i/>
          <w:iCs/>
        </w:rPr>
        <w:t xml:space="preserve">Learning Multiple Layers of Features from Tiny Images</w:t>
      </w:r>
      <w:r>
        <w:t xml:space="preserve">. University of Toronto.</w:t>
      </w:r>
    </w:p>
    <w:bookmarkEnd w:id="248"/>
    <w:bookmarkStart w:id="249" w:name="ref-lecun1998mnist"/>
    <w:p>
      <w:pPr>
        <w:pStyle w:val="Bibliography"/>
      </w:pPr>
      <w:r>
        <w:t xml:space="preserve">LeCun, Yann, Léon Bottou, Yoshua Bengio, and Patrick Haffner. 1998.</w:t>
      </w:r>
      <w:r>
        <w:t xml:space="preserve"> </w:t>
      </w:r>
      <w:r>
        <w:t xml:space="preserve">“Gradient-Based Learning Applied to Document Recognition.”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 </w:t>
      </w:r>
      <w:r>
        <w:t xml:space="preserve">86 (11): 2278-324.</w:t>
      </w:r>
    </w:p>
    <w:bookmarkEnd w:id="249"/>
    <w:bookmarkStart w:id="250" w:name="ref-loshchilov2017sgdr"/>
    <w:p>
      <w:pPr>
        <w:pStyle w:val="Bibliography"/>
      </w:pPr>
      <w:r>
        <w:t xml:space="preserve">Loshchilov, Ilya, and Frank Hutter. 2017.</w:t>
      </w:r>
      <w:r>
        <w:t xml:space="preserve"> </w:t>
      </w:r>
      <w:r>
        <w:t xml:space="preserve">“</w:t>
      </w:r>
      <w:r>
        <w:t xml:space="preserve">SGDR</w:t>
      </w:r>
      <w:r>
        <w:t xml:space="preserve">: Stochastic Gradient Descent with Warm Restarts.”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bookmarkEnd w:id="250"/>
    <w:bookmarkStart w:id="251" w:name="ref-loshchilov2017adamw"/>
    <w:p>
      <w:pPr>
        <w:pStyle w:val="Bibliography"/>
      </w:pPr>
      <w:r>
        <w:t xml:space="preserve">Loshchilov, Ilya, and Frank Hutter. 2019a.</w:t>
      </w:r>
      <w:r>
        <w:t xml:space="preserve"> </w:t>
      </w:r>
      <w:r>
        <w:t xml:space="preserve">“Decoupled Weight Decay Regularization.”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bookmarkEnd w:id="251"/>
    <w:bookmarkStart w:id="252" w:name="ref-loshchilov2019adamw"/>
    <w:p>
      <w:pPr>
        <w:pStyle w:val="Bibliography"/>
      </w:pPr>
      <w:r>
        <w:t xml:space="preserve">Loshchilov, Ilya, and Frank Hutter. 2019b.</w:t>
      </w:r>
      <w:r>
        <w:t xml:space="preserve"> </w:t>
      </w:r>
      <w:r>
        <w:t xml:space="preserve">“Decoupled Weight Decay Regularization.”</w:t>
      </w:r>
      <w:r>
        <w:t xml:space="preserve"> </w:t>
      </w:r>
      <w:r>
        <w:rPr>
          <w:i/>
          <w:iCs/>
        </w:rPr>
        <w:t xml:space="preserve">Proc. Int. Conf. On Learning Representations (ICLR)</w:t>
      </w:r>
      <w:r>
        <w:t xml:space="preserve">.</w:t>
      </w:r>
    </w:p>
    <w:bookmarkEnd w:id="252"/>
    <w:bookmarkStart w:id="253" w:name="ref-naeini2015ece"/>
    <w:p>
      <w:pPr>
        <w:pStyle w:val="Bibliography"/>
      </w:pPr>
      <w:r>
        <w:t xml:space="preserve">Naeini, Mahdi Pakdaman, Gregory F. Cooper, and Milos Hauskrecht. 2015.</w:t>
      </w:r>
      <w:r>
        <w:t xml:space="preserve"> </w:t>
      </w:r>
      <w:r>
        <w:t xml:space="preserve">“Obtaining Well Calibrated Probabilities Using Bayesian Binning.”</w:t>
      </w:r>
      <w:r>
        <w:t xml:space="preserve"> </w:t>
      </w:r>
      <w:r>
        <w:rPr>
          <w:i/>
          <w:iCs/>
        </w:rPr>
        <w:t xml:space="preserve">Proc. AAAI Conf. On Artificial Intelligence</w:t>
      </w:r>
      <w:r>
        <w:t xml:space="preserve">.</w:t>
      </w:r>
    </w:p>
    <w:bookmarkEnd w:id="253"/>
    <w:bookmarkStart w:id="254" w:name="ref-paszke2019pytorch"/>
    <w:p>
      <w:pPr>
        <w:pStyle w:val="Bibliography"/>
      </w:pPr>
      <w:r>
        <w:t xml:space="preserve">Paszke, Adam et al.</w:t>
      </w:r>
      <w:r>
        <w:t xml:space="preserve"> 2019.</w:t>
      </w:r>
      <w:r>
        <w:t xml:space="preserve"> </w:t>
      </w:r>
      <w:r>
        <w:rPr>
          <w:i/>
          <w:iCs/>
        </w:rPr>
        <w:t xml:space="preserve">PyTorch</w:t>
      </w:r>
      <w:r>
        <w:rPr>
          <w:i/>
          <w:iCs/>
        </w:rPr>
        <w:t xml:space="preserve">: An Imperative Style, High-Performance Deep Learning Library</w:t>
      </w:r>
      <w:r>
        <w:t xml:space="preserve">. Advances in Neural Information Processing Systems 32.</w:t>
      </w:r>
    </w:p>
    <w:bookmarkEnd w:id="254"/>
    <w:bookmarkStart w:id="255" w:name="ref-shi2024transnext"/>
    <w:p>
      <w:pPr>
        <w:pStyle w:val="Bibliography"/>
      </w:pPr>
      <w:r>
        <w:t xml:space="preserve">Shi, Dai. 2024.</w:t>
      </w:r>
      <w:r>
        <w:t xml:space="preserve"> </w:t>
      </w:r>
      <w:r>
        <w:rPr>
          <w:i/>
          <w:iCs/>
        </w:rPr>
        <w:t xml:space="preserve">TransNeXt</w:t>
      </w:r>
      <w:r>
        <w:rPr>
          <w:i/>
          <w:iCs/>
        </w:rPr>
        <w:t xml:space="preserve">: Robust Foveal Visual Perception for Vision Transformers</w:t>
      </w:r>
      <w:r>
        <w:t xml:space="preserve">. arXiv:2311.17132.</w:t>
      </w:r>
    </w:p>
    <w:bookmarkEnd w:id="255"/>
    <w:bookmarkStart w:id="256" w:name="ref-wang2004ssim"/>
    <w:p>
      <w:pPr>
        <w:pStyle w:val="Bibliography"/>
      </w:pPr>
      <w:r>
        <w:t xml:space="preserve">Wang, Zhou, Alan C. Bovik, Hamid R. Sheikh, and Eero P. Simoncelli. 2004.</w:t>
      </w:r>
      <w:r>
        <w:t xml:space="preserve"> </w:t>
      </w:r>
      <w:r>
        <w:t xml:space="preserve">“Image Quality Assessment: From Error Visibility to Structural Similarity.”</w:t>
      </w:r>
      <w:r>
        <w:t xml:space="preserve"> </w:t>
      </w:r>
      <w:r>
        <w:rPr>
          <w:i/>
          <w:iCs/>
        </w:rPr>
        <w:t xml:space="preserve">IEEE Trans. On Image Processing</w:t>
      </w:r>
      <w:r>
        <w:t xml:space="preserve"> </w:t>
      </w:r>
      <w:r>
        <w:t xml:space="preserve">13 (4): 600-612.</w:t>
      </w:r>
    </w:p>
    <w:bookmarkEnd w:id="256"/>
    <w:bookmarkStart w:id="257" w:name="ref-yun2019cutmix"/>
    <w:p>
      <w:pPr>
        <w:pStyle w:val="Bibliography"/>
      </w:pPr>
      <w:r>
        <w:t xml:space="preserve">Yun, Sangdoo, Dongyoon Han, Seong Joon Oh, Sanghyuk Chun, Junsuk Choe, and Youngjoon Yoo. 2019.</w:t>
      </w:r>
      <w:r>
        <w:t xml:space="preserve"> </w:t>
      </w:r>
      <w:r>
        <w:t xml:space="preserve">“</w:t>
      </w:r>
      <w:r>
        <w:t xml:space="preserve">CutMix</w:t>
      </w:r>
      <w:r>
        <w:t xml:space="preserve">: Regularization Strategy to Train Strong Classifiers with Localizable Features.”</w:t>
      </w:r>
      <w:r>
        <w:t xml:space="preserve"> </w:t>
      </w:r>
      <w:r>
        <w:rPr>
          <w:i/>
          <w:iCs/>
        </w:rPr>
        <w:t xml:space="preserve">Proc. IEEE/CVF Int. Conf. On Computer Vision (ICCV)</w:t>
      </w:r>
      <w:r>
        <w:t xml:space="preserve">.</w:t>
      </w:r>
    </w:p>
    <w:bookmarkEnd w:id="257"/>
    <w:bookmarkStart w:id="258" w:name="ref-zhang2018mixup"/>
    <w:p>
      <w:pPr>
        <w:pStyle w:val="Bibliography"/>
      </w:pPr>
      <w:r>
        <w:t xml:space="preserve">Zhang, Hongyi, Moustapha Cisse, Yann N. Dauphin, and David Lopez-Paz. 2018.</w:t>
      </w:r>
      <w:r>
        <w:t xml:space="preserve"> </w:t>
      </w:r>
      <w:r>
        <w:t xml:space="preserve">“Mixup: Beyond Empirical Risk Minimization.”</w:t>
      </w:r>
      <w:r>
        <w:t xml:space="preserve"> </w:t>
      </w:r>
      <w:r>
        <w:rPr>
          <w:i/>
          <w:iCs/>
        </w:rPr>
        <w:t xml:space="preserve">Proc. Int. Conf. On Learning Representations (ICLR)</w:t>
      </w:r>
      <w:r>
        <w:t xml:space="preserve">.</w:t>
      </w:r>
    </w:p>
    <w:bookmarkEnd w:id="258"/>
    <w:bookmarkEnd w:id="259"/>
    <w:bookmarkEnd w:id="260"/>
    <w:sectPr>
      <w:footnotePr>
        <w:numRestart w:val="eachSect"/>
      </w:footnotePr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 w:line="360" w:lineRule="auto"/>
      <w:jc w:val="both"/>
    </w:pPr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/>
      <w:jc w:val="both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360" w:lineRule="auto"/>
      <w:jc w:val="both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sz w:val="2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360" w:lineRule="auto"/>
    </w:pPr>
    <w:rPr>
      <w:rFonts w:ascii="Times New Roman" w:cstheme="majorBidi" w:eastAsiaTheme="majorEastAsia" w:hAnsi="Times New Roman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line="360" w:lineRule="auto"/>
    </w:pPr>
    <w:rPr>
      <w:rFonts w:ascii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line="360" w:lineRule="auto"/>
    </w:pPr>
    <w:rPr>
      <w:rFonts w:ascii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Times New Roman" w:asciiTheme="majorHAnsi" w:cstheme="majorBidi" w:eastAsiaTheme="majorEastAsia" w:hAnsi="Times New Roman" w:hAnsiTheme="majorHAnsi"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Times New Roman" w:asciiTheme="majorHAnsi" w:cstheme="majorBidi" w:eastAsiaTheme="majorEastAsia" w:hAnsi="Times New Roman" w:hAnsiTheme="majorHAnsi"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Times New Roman" w:cstheme="majorBidi" w:eastAsiaTheme="majorEastAsia" w:hAnsi="Times New Roman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Times New Roman" w:cstheme="majorBidi" w:eastAsiaTheme="majorEastAsia" w:hAnsi="Times New Roman"/>
      <w:i/>
      <w:iCs/>
      <w:color w:themeColor="accent1" w:themeShade="BF" w:val="0F4761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360" w:lineRule="auto"/>
      <w:ind w:firstLine="0" w:left="480" w:right="480"/>
      <w:jc w:val="both"/>
    </w:pPr>
    <w:rPr>
      <w:rFonts w:ascii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360" w:lineRule="auto"/>
    </w:pPr>
    <w:rPr>
      <w:rFonts w:ascii="Times New Roman" w:hAnsi="Times New Roman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360" w:lineRule="auto"/>
    </w:pPr>
    <w:rPr>
      <w:rFonts w:ascii="Times New Roman" w:hAnsi="Times New Roman"/>
      <w:i/>
      <w:sz w:val="24"/>
    </w:rPr>
  </w:style>
  <w:style w:customStyle="1" w:styleId="TableCaption" w:type="paragraph">
    <w:name w:val="Table Caption"/>
    <w:basedOn w:val="Caption"/>
    <w:pPr>
      <w:keepNext/>
      <w:spacing w:line="360" w:lineRule="auto"/>
    </w:pPr>
    <w:rPr>
      <w:rFonts w:ascii="Times New Roman" w:hAnsi="Times New Roman"/>
      <w:sz w:val="24"/>
    </w:rPr>
  </w:style>
  <w:style w:customStyle="1" w:styleId="ImageCaption" w:type="paragraph">
    <w:name w:val="Image Caption"/>
    <w:basedOn w:val="Caption"/>
    <w:pPr>
      <w:spacing w:line="360" w:lineRule="auto"/>
    </w:pPr>
    <w:rPr>
      <w:rFonts w:ascii="Times New Roman" w:hAnsi="Times New Roman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360" w:lineRule="auto"/>
      <w:outlineLvl w:val="9"/>
    </w:pPr>
    <w:rPr>
      <w:rFonts w:ascii="Times New Roman" w:asciiTheme="majorHAnsi" w:cstheme="majorBidi" w:eastAsiaTheme="majorEastAsia" w:hAnsi="Times New Roman" w:hAnsiTheme="majorHAnsi"/>
      <w:b w:val="0"/>
      <w:bCs w:val="0"/>
      <w:color w:themeColor="accent1" w:themeShade="BF" w:val="365F91"/>
      <w:sz w:val="24"/>
    </w:rPr>
  </w:style>
  <w:style w:customStyle="1" w:styleId="SourceCode" w:type="paragraph">
    <w:name w:val="Source Code"/>
    <w:basedOn w:val="Normal"/>
    <w:link w:val="VerbatimChar"/>
    <w:pPr>
      <w:wordWrap w:val="off"/>
      <w:spacing w:line="360" w:lineRule="auto"/>
    </w:pPr>
    <w:rPr>
      <w:rFonts w:ascii="Times New Roman" w:hAnsi="Times New Roman"/>
      <w:sz w:val="24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154" Target="media/rId154.png" /><Relationship Type="http://schemas.openxmlformats.org/officeDocument/2006/relationships/image" Id="rId163" Target="media/rId163.png" /><Relationship Type="http://schemas.openxmlformats.org/officeDocument/2006/relationships/image" Id="rId151" Target="media/rId151.png" /><Relationship Type="http://schemas.openxmlformats.org/officeDocument/2006/relationships/image" Id="rId160" Target="media/rId160.png" /><Relationship Type="http://schemas.openxmlformats.org/officeDocument/2006/relationships/image" Id="rId157" Target="media/rId157.png" /><Relationship Type="http://schemas.openxmlformats.org/officeDocument/2006/relationships/image" Id="rId166" Target="media/rId166.png" /><Relationship Type="http://schemas.openxmlformats.org/officeDocument/2006/relationships/image" Id="rId173" Target="media/rId173.png" /><Relationship Type="http://schemas.openxmlformats.org/officeDocument/2006/relationships/image" Id="rId182" Target="media/rId182.png" /><Relationship Type="http://schemas.openxmlformats.org/officeDocument/2006/relationships/image" Id="rId170" Target="media/rId170.png" /><Relationship Type="http://schemas.openxmlformats.org/officeDocument/2006/relationships/image" Id="rId179" Target="media/rId179.png" /><Relationship Type="http://schemas.openxmlformats.org/officeDocument/2006/relationships/image" Id="rId176" Target="media/rId176.png" /><Relationship Type="http://schemas.openxmlformats.org/officeDocument/2006/relationships/image" Id="rId185" Target="media/rId185.png" /><Relationship Type="http://schemas.openxmlformats.org/officeDocument/2006/relationships/image" Id="rId193" Target="media/rId193.png" /><Relationship Type="http://schemas.openxmlformats.org/officeDocument/2006/relationships/image" Id="rId202" Target="media/rId20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image" Id="rId196" Target="media/rId196.png" /><Relationship Type="http://schemas.openxmlformats.org/officeDocument/2006/relationships/image" Id="rId205" Target="media/rId205.png" /><Relationship Type="http://schemas.openxmlformats.org/officeDocument/2006/relationships/image" Id="rId125" Target="media/rId125.png" /><Relationship Type="http://schemas.openxmlformats.org/officeDocument/2006/relationships/image" Id="rId133" Target="media/rId133.png" /><Relationship Type="http://schemas.openxmlformats.org/officeDocument/2006/relationships/image" Id="rId90" Target="media/rId90.png" /><Relationship Type="http://schemas.openxmlformats.org/officeDocument/2006/relationships/image" Id="rId98" Target="media/rId98.png" /><Relationship Type="http://schemas.openxmlformats.org/officeDocument/2006/relationships/image" Id="rId128" Target="media/rId128.png" /><Relationship Type="http://schemas.openxmlformats.org/officeDocument/2006/relationships/image" Id="rId136" Target="media/rId136.png" /><Relationship Type="http://schemas.openxmlformats.org/officeDocument/2006/relationships/image" Id="rId93" Target="media/rId93.png" /><Relationship Type="http://schemas.openxmlformats.org/officeDocument/2006/relationships/image" Id="rId101" Target="media/rId101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28" Target="media/rId228.png" /><Relationship Type="http://schemas.openxmlformats.org/officeDocument/2006/relationships/image" Id="rId210" Target="media/rId210.png" /><Relationship Type="http://schemas.openxmlformats.org/officeDocument/2006/relationships/image" Id="rId143" Target="media/rId143.png" /><Relationship Type="http://schemas.openxmlformats.org/officeDocument/2006/relationships/image" Id="rId146" Target="media/rId146.png" /><Relationship Type="http://schemas.openxmlformats.org/officeDocument/2006/relationships/image" Id="rId115" Target="media/rId115.png" /><Relationship Type="http://schemas.openxmlformats.org/officeDocument/2006/relationships/image" Id="rId121" Target="media/rId121.png" /><Relationship Type="http://schemas.openxmlformats.org/officeDocument/2006/relationships/image" Id="rId109" Target="media/rId109.png" /><Relationship Type="http://schemas.openxmlformats.org/officeDocument/2006/relationships/image" Id="rId45" Target="media/rId45.png" /><Relationship Type="http://schemas.openxmlformats.org/officeDocument/2006/relationships/image" Id="rId53" Target="media/rId53.png" /><Relationship Type="http://schemas.openxmlformats.org/officeDocument/2006/relationships/image" Id="rId49" Target="media/rId49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2026-06-02T15:28:35Z</dcterms:created>
  <dcterms:modified xsi:type="dcterms:W3CDTF">2026-06-02T15:28:35Z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C:/Users/ib94/Object-Classification-in-Low-Resolution-THz-Imagery--/Final_Report/source/refs.bib</vt:lpwstr>
  </property>
</Properties>
</file>