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32"/>
        </w:rPr>
        <w:t>MIC Creep Prediction Using Machine Learning</w:t>
        <w:br/>
        <w:t>Vivli AMR Surveillance Data Challenge 2026</w:t>
      </w:r>
    </w:p>
    <w:p>
      <w:pPr>
        <w:spacing w:after="160"/>
        <w:jc w:val="center"/>
      </w:pPr>
      <w:r>
        <w:rPr>
          <w:rFonts w:ascii="Calibri" w:hAnsi="Calibri"/>
          <w:b w:val="0"/>
          <w:sz w:val="22"/>
        </w:rPr>
        <w:t>Anna Gurina (Technical Lead) | Inna Kucherova (Research Lead / Domain Expert)</w:t>
        <w:br/>
        <w:t>KSE Introduction to Machine Learning - Group Project</w:t>
      </w:r>
    </w:p>
    <w:p>
      <w:pPr>
        <w:spacing w:before="200" w:after="60"/>
      </w:pPr>
      <w:r>
        <w:rPr>
          <w:rFonts w:ascii="Calibri" w:hAnsi="Calibri"/>
          <w:b/>
          <w:color w:val="1F497D"/>
          <w:sz w:val="26"/>
        </w:rPr>
        <w:t>1. Introduction</w:t>
      </w:r>
    </w:p>
    <w:p>
      <w:pPr>
        <w:spacing w:before="0" w:after="80"/>
      </w:pPr>
      <w:r>
        <w:rPr>
          <w:rFonts w:ascii="Calibri" w:hAnsi="Calibri"/>
          <w:b w:val="0"/>
          <w:sz w:val="22"/>
        </w:rPr>
        <w:t>Antibiotic resistance represents one of the most urgent global health threats. The gradual upward drift of Minimum Inhibitory Concentration (MIC) values - termed 'MIC Creep' - is an early warning signal that precedes full clinical resistance. Because MIC values remain technically 'susceptible' while drifting upward, this phenomenon escapes detection by standard clinical breakpoint reporting. This project applies machine learning to quantify and predict MIC Creep for Klebsiella pneumoniae and Acinetobacter baumannii against Meropenem, a last-resort carbapenem antibiotic, using isolate-level surveillance data from the Vivli AMR Register (ATLAS dataset, Pfizer).</w:t>
      </w:r>
    </w:p>
    <w:p>
      <w:pPr>
        <w:spacing w:before="200" w:after="60"/>
      </w:pPr>
      <w:r>
        <w:rPr>
          <w:rFonts w:ascii="Calibri" w:hAnsi="Calibri"/>
          <w:b/>
          <w:color w:val="1F497D"/>
          <w:sz w:val="26"/>
        </w:rPr>
        <w:t>2. Problem Statement</w:t>
      </w:r>
    </w:p>
    <w:p>
      <w:pPr>
        <w:spacing w:before="0" w:after="80"/>
      </w:pPr>
      <w:r>
        <w:rPr>
          <w:rFonts w:ascii="Calibri" w:hAnsi="Calibri"/>
          <w:b w:val="0"/>
          <w:sz w:val="22"/>
        </w:rPr>
        <w:t>We frame MIC Creep as a regression problem: predict the log2-transformed MIC value for each bacterial isolate given its year, geographic origin, host demographics, and specimen source. The primary clinical question is: are MIC values systematically increasing over time, even within the susceptible range? We evaluate two organisms independently because they occupy distinct ecological niches: K. pneumoniae is predominantly a community/hospital-acquired pathogen, while A. baumannii is almost exclusively nosocomial and frequently carbapenem-resistant at baseline (pan-resistant outbreaks in ICUs).</w:t>
      </w:r>
    </w:p>
    <w:p>
      <w:pPr>
        <w:spacing w:before="120" w:after="60"/>
      </w:pPr>
      <w:r>
        <w:rPr>
          <w:rFonts w:ascii="Calibri" w:hAnsi="Calibri"/>
          <w:b/>
          <w:color w:val="000000"/>
          <w:sz w:val="22"/>
        </w:rPr>
        <w:t>Why It Matters</w:t>
      </w:r>
    </w:p>
    <w:p>
      <w:pPr>
        <w:spacing w:before="0" w:after="80"/>
      </w:pPr>
      <w:r>
        <w:rPr>
          <w:rFonts w:ascii="Calibri" w:hAnsi="Calibri"/>
          <w:b w:val="0"/>
          <w:sz w:val="22"/>
        </w:rPr>
        <w:t>Meropenem is a carbapenem antibiotic used as a last resort when all other options have failed. Both K. pneumoniae and A. baumannii appear on the WHO Global Priority Pathogen List as 'critical' threats - the highest tier. For these organisms, carbapenem resistance means virtually no remaining oral or intravenous treatment options.</w:t>
      </w:r>
    </w:p>
    <w:p>
      <w:pPr>
        <w:spacing w:before="0" w:after="80"/>
      </w:pPr>
      <w:r>
        <w:rPr>
          <w:rFonts w:ascii="Calibri" w:hAnsi="Calibri"/>
          <w:b w:val="0"/>
          <w:sz w:val="22"/>
        </w:rPr>
        <w:t>The central failure of current surveillance is that it is binary: each isolate is classified Susceptible (S), Intermediate (I), or Resistant (R) against a fixed breakpoint. An isolate with MIC = 1 mg/L and one with MIC = 7 mg/L are both reported as 'S' against a breakpoint of 8 mg/L - but they are biologically very different. MIC creep is the gradual drift of that distribution upward, year over year. By the time enough isolates cross the breakpoint to trigger a formal resistance alert, therapeutic efficacy has already eroded for the preceding cohort.</w:t>
      </w:r>
    </w:p>
    <w:p>
      <w:pPr>
        <w:spacing w:before="0" w:after="80"/>
      </w:pPr>
      <w:r>
        <w:rPr>
          <w:rFonts w:ascii="Calibri" w:hAnsi="Calibri"/>
          <w:b w:val="0"/>
          <w:sz w:val="22"/>
        </w:rPr>
        <w:t>Machine learning on log2(MIC) as a continuous target enables early detection of this drift before it becomes a clinical crisis - and provides quantitative forecasting that binary S/I/R reporting cannot.</w:t>
      </w:r>
    </w:p>
    <w:p>
      <w:pPr>
        <w:spacing w:before="0" w:after="80"/>
      </w:pPr>
      <w:r>
        <w:rPr>
          <w:rFonts w:ascii="Calibri" w:hAnsi="Calibri"/>
          <w:b w:val="0"/>
          <w:sz w:val="22"/>
        </w:rPr>
        <w:t>Observed trends in our dataset: K. pneumoniae resistance (MIC &gt; 8 mg/L) rose from 5% (2007) to 20% (2022). A. baumannii was already at 39% resistance in 2006 and reached 69% by 2022 - with MIC90 pegged at the assay panel ceiling since 2005, indicating widespread pan-resistance.</w:t>
      </w:r>
    </w:p>
    <w:p>
      <w:pPr>
        <w:spacing w:before="200" w:after="60"/>
      </w:pPr>
      <w:r>
        <w:rPr>
          <w:rFonts w:ascii="Calibri" w:hAnsi="Calibri"/>
          <w:b/>
          <w:color w:val="1F497D"/>
          <w:sz w:val="26"/>
        </w:rPr>
        <w:t>3. Data Sources and Description</w:t>
      </w:r>
    </w:p>
    <w:p>
      <w:pPr>
        <w:spacing w:before="0" w:after="80"/>
      </w:pPr>
      <w:r>
        <w:rPr>
          <w:rFonts w:ascii="Calibri" w:hAnsi="Calibri"/>
          <w:b w:val="0"/>
          <w:sz w:val="22"/>
        </w:rPr>
        <w:t>Source: ATLAS (Antimicrobial Testing Leadership and Surveillance, Pfizer), accessed via the Vivli AMR Register under a Data Use Agreement. The dataset spans 2004-2022 across 100+ countries. Raw data are stored locally and never committed to version control per Vivli data stewardship terms.</w:t>
      </w:r>
    </w:p>
    <w:p>
      <w:pPr>
        <w:spacing w:before="0" w:after="80"/>
      </w:pPr>
      <w:r>
        <w:rPr>
          <w:rFonts w:ascii="Calibri" w:hAnsi="Calibri"/>
          <w:b w:val="0"/>
          <w:sz w:val="22"/>
        </w:rPr>
        <w:t>Table 1: Dataset summary</w:t>
      </w:r>
    </w:p>
    <w:tbl>
      <w:tblPr>
        <w:tblStyle w:val="TableGrid"/>
        <w:tblW w:type="auto" w:w="0"/>
        <w:tblLook w:firstColumn="1" w:firstRow="1" w:lastColumn="0" w:lastRow="0" w:noHBand="0" w:noVBand="1" w:val="04A0"/>
      </w:tblPr>
      <w:tblGrid>
        <w:gridCol w:w="3120"/>
        <w:gridCol w:w="3120"/>
        <w:gridCol w:w="3120"/>
      </w:tblGrid>
      <w:tr>
        <w:tc>
          <w:tcPr>
            <w:tcW w:type="dxa" w:w="3168"/>
          </w:tcPr>
          <w:p>
            <w:pPr>
              <w:jc w:val="center"/>
            </w:pPr>
            <w:r>
              <w:rPr>
                <w:b/>
                <w:sz w:val="20"/>
              </w:rPr>
              <w:t>Parameter</w:t>
            </w:r>
          </w:p>
        </w:tc>
        <w:tc>
          <w:tcPr>
            <w:tcW w:type="dxa" w:w="2880"/>
          </w:tcPr>
          <w:p>
            <w:pPr>
              <w:jc w:val="center"/>
            </w:pPr>
            <w:r>
              <w:rPr>
                <w:b/>
                <w:sz w:val="20"/>
              </w:rPr>
              <w:t>K. pneumoniae</w:t>
            </w:r>
          </w:p>
        </w:tc>
        <w:tc>
          <w:tcPr>
            <w:tcW w:type="dxa" w:w="2880"/>
          </w:tcPr>
          <w:p>
            <w:pPr>
              <w:jc w:val="center"/>
            </w:pPr>
            <w:r>
              <w:rPr>
                <w:b/>
                <w:sz w:val="20"/>
              </w:rPr>
              <w:t>A. baumannii</w:t>
            </w:r>
          </w:p>
        </w:tc>
      </w:tr>
      <w:tr>
        <w:tc>
          <w:tcPr>
            <w:tcW w:type="dxa" w:w="3168"/>
          </w:tcPr>
          <w:p>
            <w:pPr>
              <w:jc w:val="center"/>
            </w:pPr>
            <w:r>
              <w:rPr>
                <w:sz w:val="20"/>
              </w:rPr>
              <w:t>Total isolates</w:t>
            </w:r>
          </w:p>
        </w:tc>
        <w:tc>
          <w:tcPr>
            <w:tcW w:type="dxa" w:w="2880"/>
          </w:tcPr>
          <w:p>
            <w:pPr>
              <w:jc w:val="center"/>
            </w:pPr>
            <w:r>
              <w:rPr>
                <w:sz w:val="20"/>
              </w:rPr>
              <w:t>89,572</w:t>
            </w:r>
          </w:p>
        </w:tc>
        <w:tc>
          <w:tcPr>
            <w:tcW w:type="dxa" w:w="2880"/>
          </w:tcPr>
          <w:p>
            <w:pPr>
              <w:jc w:val="center"/>
            </w:pPr>
            <w:r>
              <w:rPr>
                <w:sz w:val="20"/>
              </w:rPr>
              <w:t>37,540</w:t>
            </w:r>
          </w:p>
        </w:tc>
      </w:tr>
      <w:tr>
        <w:tc>
          <w:tcPr>
            <w:tcW w:type="dxa" w:w="3168"/>
          </w:tcPr>
          <w:p>
            <w:pPr>
              <w:jc w:val="center"/>
            </w:pPr>
            <w:r>
              <w:rPr>
                <w:sz w:val="20"/>
              </w:rPr>
              <w:t>Countries</w:t>
            </w:r>
          </w:p>
        </w:tc>
        <w:tc>
          <w:tcPr>
            <w:tcW w:type="dxa" w:w="2880"/>
          </w:tcPr>
          <w:p>
            <w:pPr>
              <w:jc w:val="center"/>
            </w:pPr>
            <w:r>
              <w:rPr>
                <w:sz w:val="20"/>
              </w:rPr>
              <w:t>81</w:t>
            </w:r>
          </w:p>
        </w:tc>
        <w:tc>
          <w:tcPr>
            <w:tcW w:type="dxa" w:w="2880"/>
          </w:tcPr>
          <w:p>
            <w:pPr>
              <w:jc w:val="center"/>
            </w:pPr>
            <w:r>
              <w:rPr>
                <w:sz w:val="20"/>
              </w:rPr>
              <w:t>79</w:t>
            </w:r>
          </w:p>
        </w:tc>
      </w:tr>
      <w:tr>
        <w:tc>
          <w:tcPr>
            <w:tcW w:type="dxa" w:w="3168"/>
          </w:tcPr>
          <w:p>
            <w:pPr>
              <w:jc w:val="center"/>
            </w:pPr>
            <w:r>
              <w:rPr>
                <w:sz w:val="20"/>
              </w:rPr>
              <w:t>Train period</w:t>
            </w:r>
          </w:p>
        </w:tc>
        <w:tc>
          <w:tcPr>
            <w:tcW w:type="dxa" w:w="2880"/>
          </w:tcPr>
          <w:p>
            <w:pPr>
              <w:jc w:val="center"/>
            </w:pPr>
            <w:r>
              <w:rPr>
                <w:sz w:val="20"/>
              </w:rPr>
              <w:t>2004-2018 (n=61,780)</w:t>
            </w:r>
          </w:p>
        </w:tc>
        <w:tc>
          <w:tcPr>
            <w:tcW w:type="dxa" w:w="2880"/>
          </w:tcPr>
          <w:p>
            <w:pPr>
              <w:jc w:val="center"/>
            </w:pPr>
            <w:r>
              <w:rPr>
                <w:sz w:val="20"/>
              </w:rPr>
              <w:t>2004-2018 (n=23,990)</w:t>
            </w:r>
          </w:p>
        </w:tc>
      </w:tr>
      <w:tr>
        <w:tc>
          <w:tcPr>
            <w:tcW w:type="dxa" w:w="3168"/>
          </w:tcPr>
          <w:p>
            <w:pPr>
              <w:jc w:val="center"/>
            </w:pPr>
            <w:r>
              <w:rPr>
                <w:sz w:val="20"/>
              </w:rPr>
              <w:t>Test period</w:t>
            </w:r>
          </w:p>
        </w:tc>
        <w:tc>
          <w:tcPr>
            <w:tcW w:type="dxa" w:w="2880"/>
          </w:tcPr>
          <w:p>
            <w:pPr>
              <w:jc w:val="center"/>
            </w:pPr>
            <w:r>
              <w:rPr>
                <w:sz w:val="20"/>
              </w:rPr>
              <w:t>2019-2022 (n=27,792)</w:t>
            </w:r>
          </w:p>
        </w:tc>
        <w:tc>
          <w:tcPr>
            <w:tcW w:type="dxa" w:w="2880"/>
          </w:tcPr>
          <w:p>
            <w:pPr>
              <w:jc w:val="center"/>
            </w:pPr>
            <w:r>
              <w:rPr>
                <w:sz w:val="20"/>
              </w:rPr>
              <w:t>2019-2022 (n=13,550)</w:t>
            </w:r>
          </w:p>
        </w:tc>
      </w:tr>
      <w:tr>
        <w:tc>
          <w:tcPr>
            <w:tcW w:type="dxa" w:w="3168"/>
          </w:tcPr>
          <w:p>
            <w:pPr>
              <w:jc w:val="center"/>
            </w:pPr>
            <w:r>
              <w:rPr>
                <w:sz w:val="20"/>
              </w:rPr>
              <w:t>% censored MIC</w:t>
            </w:r>
          </w:p>
        </w:tc>
        <w:tc>
          <w:tcPr>
            <w:tcW w:type="dxa" w:w="2880"/>
          </w:tcPr>
          <w:p>
            <w:pPr>
              <w:jc w:val="center"/>
            </w:pPr>
            <w:r>
              <w:rPr>
                <w:sz w:val="20"/>
              </w:rPr>
              <w:t>~75%</w:t>
            </w:r>
          </w:p>
        </w:tc>
        <w:tc>
          <w:tcPr>
            <w:tcW w:type="dxa" w:w="2880"/>
          </w:tcPr>
          <w:p>
            <w:pPr>
              <w:jc w:val="center"/>
            </w:pPr>
            <w:r>
              <w:rPr>
                <w:sz w:val="20"/>
              </w:rPr>
              <w:t>~10%</w:t>
            </w:r>
          </w:p>
        </w:tc>
      </w:tr>
      <w:tr>
        <w:tc>
          <w:tcPr>
            <w:tcW w:type="dxa" w:w="3168"/>
          </w:tcPr>
          <w:p>
            <w:pPr>
              <w:jc w:val="center"/>
            </w:pPr>
            <w:r>
              <w:rPr>
                <w:sz w:val="20"/>
              </w:rPr>
              <w:t>% resistant (MIC&gt;8 mg/L)</w:t>
            </w:r>
          </w:p>
        </w:tc>
        <w:tc>
          <w:tcPr>
            <w:tcW w:type="dxa" w:w="2880"/>
          </w:tcPr>
          <w:p>
            <w:pPr>
              <w:jc w:val="center"/>
            </w:pPr>
            <w:r>
              <w:rPr>
                <w:sz w:val="20"/>
              </w:rPr>
              <w:t>~7.4%</w:t>
            </w:r>
          </w:p>
        </w:tc>
        <w:tc>
          <w:tcPr>
            <w:tcW w:type="dxa" w:w="2880"/>
          </w:tcPr>
          <w:p>
            <w:pPr>
              <w:jc w:val="center"/>
            </w:pPr>
            <w:r>
              <w:rPr>
                <w:sz w:val="20"/>
              </w:rPr>
              <w:t>~24.7%</w:t>
            </w:r>
          </w:p>
        </w:tc>
      </w:tr>
      <w:tr>
        <w:tc>
          <w:tcPr>
            <w:tcW w:type="dxa" w:w="3168"/>
          </w:tcPr>
          <w:p>
            <w:pPr>
              <w:jc w:val="center"/>
            </w:pPr>
            <w:r>
              <w:rPr>
                <w:sz w:val="20"/>
              </w:rPr>
              <w:t>MIC90 trend</w:t>
            </w:r>
          </w:p>
        </w:tc>
        <w:tc>
          <w:tcPr>
            <w:tcW w:type="dxa" w:w="2880"/>
          </w:tcPr>
          <w:p>
            <w:pPr>
              <w:jc w:val="center"/>
            </w:pPr>
            <w:r>
              <w:rPr>
                <w:sz w:val="20"/>
              </w:rPr>
              <w:t>+1.97 mg/L/yr (R2=0.67)</w:t>
            </w:r>
          </w:p>
        </w:tc>
        <w:tc>
          <w:tcPr>
            <w:tcW w:type="dxa" w:w="2880"/>
          </w:tcPr>
          <w:p>
            <w:pPr>
              <w:jc w:val="center"/>
            </w:pPr>
            <w:r>
              <w:rPr>
                <w:sz w:val="20"/>
              </w:rPr>
              <w:t>At ceiling since 2005</w:t>
            </w:r>
          </w:p>
        </w:tc>
      </w:tr>
    </w:tbl>
    <w:p/>
    <w:p>
      <w:pPr>
        <w:spacing w:before="120" w:after="60"/>
      </w:pPr>
      <w:r>
        <w:rPr>
          <w:rFonts w:ascii="Calibri" w:hAnsi="Calibri"/>
          <w:b/>
          <w:color w:val="000000"/>
          <w:sz w:val="22"/>
        </w:rPr>
        <w:t>3.1 Variables Used</w:t>
      </w:r>
    </w:p>
    <w:p>
      <w:pPr>
        <w:spacing w:before="0" w:after="80"/>
      </w:pPr>
      <w:r>
        <w:rPr>
          <w:rFonts w:ascii="Calibri" w:hAnsi="Calibri"/>
          <w:b w:val="0"/>
          <w:sz w:val="22"/>
        </w:rPr>
        <w:t>Raw ATLAS columns used and their derived features:</w:t>
      </w:r>
    </w:p>
    <w:p>
      <w:pPr>
        <w:spacing w:before="0" w:after="80"/>
      </w:pPr>
      <w:r>
        <w:rPr>
          <w:rFonts w:ascii="Calibri" w:hAnsi="Calibri"/>
          <w:b w:val="0"/>
          <w:sz w:val="22"/>
        </w:rPr>
        <w:t>Table 2: Feature variables</w:t>
      </w:r>
    </w:p>
    <w:tbl>
      <w:tblPr>
        <w:tblStyle w:val="TableGrid"/>
        <w:tblW w:type="auto" w:w="0"/>
        <w:tblLook w:firstColumn="1" w:firstRow="1" w:lastColumn="0" w:lastRow="0" w:noHBand="0" w:noVBand="1" w:val="04A0"/>
      </w:tblPr>
      <w:tblGrid>
        <w:gridCol w:w="2340"/>
        <w:gridCol w:w="2340"/>
        <w:gridCol w:w="2340"/>
        <w:gridCol w:w="2340"/>
      </w:tblGrid>
      <w:tr>
        <w:tc>
          <w:tcPr>
            <w:tcW w:type="dxa" w:w="2304"/>
          </w:tcPr>
          <w:p>
            <w:pPr>
              <w:jc w:val="center"/>
            </w:pPr>
            <w:r>
              <w:rPr>
                <w:b/>
                <w:sz w:val="20"/>
              </w:rPr>
              <w:t>Feature</w:t>
            </w:r>
          </w:p>
        </w:tc>
        <w:tc>
          <w:tcPr>
            <w:tcW w:type="dxa" w:w="1440"/>
          </w:tcPr>
          <w:p>
            <w:pPr>
              <w:jc w:val="center"/>
            </w:pPr>
            <w:r>
              <w:rPr>
                <w:b/>
                <w:sz w:val="20"/>
              </w:rPr>
              <w:t>Type</w:t>
            </w:r>
          </w:p>
        </w:tc>
        <w:tc>
          <w:tcPr>
            <w:tcW w:type="dxa" w:w="2016"/>
          </w:tcPr>
          <w:p>
            <w:pPr>
              <w:jc w:val="center"/>
            </w:pPr>
            <w:r>
              <w:rPr>
                <w:b/>
                <w:sz w:val="20"/>
              </w:rPr>
              <w:t>Derived from</w:t>
            </w:r>
          </w:p>
        </w:tc>
        <w:tc>
          <w:tcPr>
            <w:tcW w:type="dxa" w:w="2304"/>
          </w:tcPr>
          <w:p>
            <w:pPr>
              <w:jc w:val="center"/>
            </w:pPr>
            <w:r>
              <w:rPr>
                <w:b/>
                <w:sz w:val="20"/>
              </w:rPr>
              <w:t>Notes</w:t>
            </w:r>
          </w:p>
        </w:tc>
      </w:tr>
      <w:tr>
        <w:tc>
          <w:tcPr>
            <w:tcW w:type="dxa" w:w="2304"/>
          </w:tcPr>
          <w:p>
            <w:pPr>
              <w:jc w:val="center"/>
            </w:pPr>
            <w:r>
              <w:rPr>
                <w:sz w:val="20"/>
              </w:rPr>
              <w:t>year</w:t>
            </w:r>
          </w:p>
        </w:tc>
        <w:tc>
          <w:tcPr>
            <w:tcW w:type="dxa" w:w="1440"/>
          </w:tcPr>
          <w:p>
            <w:pPr>
              <w:jc w:val="center"/>
            </w:pPr>
            <w:r>
              <w:rPr>
                <w:sz w:val="20"/>
              </w:rPr>
              <w:t>Continuous</w:t>
            </w:r>
          </w:p>
        </w:tc>
        <w:tc>
          <w:tcPr>
            <w:tcW w:type="dxa" w:w="2016"/>
          </w:tcPr>
          <w:p>
            <w:pPr>
              <w:jc w:val="center"/>
            </w:pPr>
            <w:r>
              <w:rPr>
                <w:sz w:val="20"/>
              </w:rPr>
              <w:t>Collection year</w:t>
            </w:r>
          </w:p>
        </w:tc>
        <w:tc>
          <w:tcPr>
            <w:tcW w:type="dxa" w:w="2304"/>
          </w:tcPr>
          <w:p>
            <w:pPr>
              <w:jc w:val="center"/>
            </w:pPr>
            <w:r>
              <w:rPr>
                <w:sz w:val="20"/>
              </w:rPr>
              <w:t>Primary MIC creep driver</w:t>
            </w:r>
          </w:p>
        </w:tc>
      </w:tr>
      <w:tr>
        <w:tc>
          <w:tcPr>
            <w:tcW w:type="dxa" w:w="2304"/>
          </w:tcPr>
          <w:p>
            <w:pPr>
              <w:jc w:val="center"/>
            </w:pPr>
            <w:r>
              <w:rPr>
                <w:sz w:val="20"/>
              </w:rPr>
              <w:t>gender_male</w:t>
            </w:r>
          </w:p>
        </w:tc>
        <w:tc>
          <w:tcPr>
            <w:tcW w:type="dxa" w:w="1440"/>
          </w:tcPr>
          <w:p>
            <w:pPr>
              <w:jc w:val="center"/>
            </w:pPr>
            <w:r>
              <w:rPr>
                <w:sz w:val="20"/>
              </w:rPr>
              <w:t>Binary (0/1)</w:t>
            </w:r>
          </w:p>
        </w:tc>
        <w:tc>
          <w:tcPr>
            <w:tcW w:type="dxa" w:w="2016"/>
          </w:tcPr>
          <w:p>
            <w:pPr>
              <w:jc w:val="center"/>
            </w:pPr>
            <w:r>
              <w:rPr>
                <w:sz w:val="20"/>
              </w:rPr>
              <w:t>Gender field</w:t>
            </w:r>
          </w:p>
        </w:tc>
        <w:tc>
          <w:tcPr>
            <w:tcW w:type="dxa" w:w="2304"/>
          </w:tcPr>
          <w:p>
            <w:pPr>
              <w:jc w:val="center"/>
            </w:pPr>
            <w:r>
              <w:rPr>
                <w:sz w:val="20"/>
              </w:rPr>
              <w:t>Female is reference</w:t>
            </w:r>
          </w:p>
        </w:tc>
      </w:tr>
      <w:tr>
        <w:tc>
          <w:tcPr>
            <w:tcW w:type="dxa" w:w="2304"/>
          </w:tcPr>
          <w:p>
            <w:pPr>
              <w:jc w:val="center"/>
            </w:pPr>
            <w:r>
              <w:rPr>
                <w:sz w:val="20"/>
              </w:rPr>
              <w:t>age_paediatric</w:t>
            </w:r>
          </w:p>
        </w:tc>
        <w:tc>
          <w:tcPr>
            <w:tcW w:type="dxa" w:w="1440"/>
          </w:tcPr>
          <w:p>
            <w:pPr>
              <w:jc w:val="center"/>
            </w:pPr>
            <w:r>
              <w:rPr>
                <w:sz w:val="20"/>
              </w:rPr>
              <w:t>Binary (0/1)</w:t>
            </w:r>
          </w:p>
        </w:tc>
        <w:tc>
          <w:tcPr>
            <w:tcW w:type="dxa" w:w="2016"/>
          </w:tcPr>
          <w:p>
            <w:pPr>
              <w:jc w:val="center"/>
            </w:pPr>
            <w:r>
              <w:rPr>
                <w:sz w:val="20"/>
              </w:rPr>
              <w:t>Age Group 0-17</w:t>
            </w:r>
          </w:p>
        </w:tc>
        <w:tc>
          <w:tcPr>
            <w:tcW w:type="dxa" w:w="2304"/>
          </w:tcPr>
          <w:p>
            <w:pPr>
              <w:jc w:val="center"/>
            </w:pPr>
            <w:r>
              <w:rPr>
                <w:sz w:val="20"/>
              </w:rPr>
              <w:t>Adult (18-60) is reference</w:t>
            </w:r>
          </w:p>
        </w:tc>
      </w:tr>
      <w:tr>
        <w:tc>
          <w:tcPr>
            <w:tcW w:type="dxa" w:w="2304"/>
          </w:tcPr>
          <w:p>
            <w:pPr>
              <w:jc w:val="center"/>
            </w:pPr>
            <w:r>
              <w:rPr>
                <w:sz w:val="20"/>
              </w:rPr>
              <w:t>age_elderly</w:t>
            </w:r>
          </w:p>
        </w:tc>
        <w:tc>
          <w:tcPr>
            <w:tcW w:type="dxa" w:w="1440"/>
          </w:tcPr>
          <w:p>
            <w:pPr>
              <w:jc w:val="center"/>
            </w:pPr>
            <w:r>
              <w:rPr>
                <w:sz w:val="20"/>
              </w:rPr>
              <w:t>Binary (0/1)</w:t>
            </w:r>
          </w:p>
        </w:tc>
        <w:tc>
          <w:tcPr>
            <w:tcW w:type="dxa" w:w="2016"/>
          </w:tcPr>
          <w:p>
            <w:pPr>
              <w:jc w:val="center"/>
            </w:pPr>
            <w:r>
              <w:rPr>
                <w:sz w:val="20"/>
              </w:rPr>
              <w:t>Age Group 61+</w:t>
            </w:r>
          </w:p>
        </w:tc>
        <w:tc>
          <w:tcPr>
            <w:tcW w:type="dxa" w:w="2304"/>
          </w:tcPr>
          <w:p>
            <w:pPr>
              <w:jc w:val="center"/>
            </w:pPr>
            <w:r>
              <w:rPr>
                <w:sz w:val="20"/>
              </w:rPr>
            </w:r>
          </w:p>
        </w:tc>
      </w:tr>
      <w:tr>
        <w:tc>
          <w:tcPr>
            <w:tcW w:type="dxa" w:w="2304"/>
          </w:tcPr>
          <w:p>
            <w:pPr>
              <w:jc w:val="center"/>
            </w:pPr>
            <w:r>
              <w:rPr>
                <w:sz w:val="20"/>
              </w:rPr>
              <w:t>military_proxy</w:t>
            </w:r>
          </w:p>
        </w:tc>
        <w:tc>
          <w:tcPr>
            <w:tcW w:type="dxa" w:w="1440"/>
          </w:tcPr>
          <w:p>
            <w:pPr>
              <w:jc w:val="center"/>
            </w:pPr>
            <w:r>
              <w:rPr>
                <w:sz w:val="20"/>
              </w:rPr>
              <w:t>Binary (0/1)</w:t>
            </w:r>
          </w:p>
        </w:tc>
        <w:tc>
          <w:tcPr>
            <w:tcW w:type="dxa" w:w="2016"/>
          </w:tcPr>
          <w:p>
            <w:pPr>
              <w:jc w:val="center"/>
            </w:pPr>
            <w:r>
              <w:rPr>
                <w:sz w:val="20"/>
              </w:rPr>
              <w:t>wound + male + 18-60</w:t>
            </w:r>
          </w:p>
        </w:tc>
        <w:tc>
          <w:tcPr>
            <w:tcW w:type="dxa" w:w="2304"/>
          </w:tcPr>
          <w:p>
            <w:pPr>
              <w:jc w:val="center"/>
            </w:pPr>
            <w:r>
              <w:rPr>
                <w:sz w:val="20"/>
              </w:rPr>
              <w:t>Combat infection proxy</w:t>
            </w:r>
          </w:p>
        </w:tc>
      </w:tr>
      <w:tr>
        <w:tc>
          <w:tcPr>
            <w:tcW w:type="dxa" w:w="2304"/>
          </w:tcPr>
          <w:p>
            <w:pPr>
              <w:jc w:val="center"/>
            </w:pPr>
            <w:r>
              <w:rPr>
                <w:sz w:val="20"/>
              </w:rPr>
              <w:t>spec_wound / blood / respiratory / urine / peritoneal</w:t>
            </w:r>
          </w:p>
        </w:tc>
        <w:tc>
          <w:tcPr>
            <w:tcW w:type="dxa" w:w="1440"/>
          </w:tcPr>
          <w:p>
            <w:pPr>
              <w:jc w:val="center"/>
            </w:pPr>
            <w:r>
              <w:rPr>
                <w:sz w:val="20"/>
              </w:rPr>
              <w:t>Binary OHE (5)</w:t>
            </w:r>
          </w:p>
        </w:tc>
        <w:tc>
          <w:tcPr>
            <w:tcW w:type="dxa" w:w="2016"/>
          </w:tcPr>
          <w:p>
            <w:pPr>
              <w:jc w:val="center"/>
            </w:pPr>
            <w:r>
              <w:rPr>
                <w:sz w:val="20"/>
              </w:rPr>
              <w:t>Source field</w:t>
            </w:r>
          </w:p>
        </w:tc>
        <w:tc>
          <w:tcPr>
            <w:tcW w:type="dxa" w:w="2304"/>
          </w:tcPr>
          <w:p>
            <w:pPr>
              <w:jc w:val="center"/>
            </w:pPr>
            <w:r>
              <w:rPr>
                <w:sz w:val="20"/>
              </w:rPr>
              <w:t>Other is reference</w:t>
            </w:r>
          </w:p>
        </w:tc>
      </w:tr>
      <w:tr>
        <w:tc>
          <w:tcPr>
            <w:tcW w:type="dxa" w:w="2304"/>
          </w:tcPr>
          <w:p>
            <w:pPr>
              <w:jc w:val="center"/>
            </w:pPr>
            <w:r>
              <w:rPr>
                <w:sz w:val="20"/>
              </w:rPr>
              <w:t>ctry_*</w:t>
            </w:r>
          </w:p>
        </w:tc>
        <w:tc>
          <w:tcPr>
            <w:tcW w:type="dxa" w:w="1440"/>
          </w:tcPr>
          <w:p>
            <w:pPr>
              <w:jc w:val="center"/>
            </w:pPr>
            <w:r>
              <w:rPr>
                <w:sz w:val="20"/>
              </w:rPr>
              <w:t>Binary OHE (81/79)</w:t>
            </w:r>
          </w:p>
        </w:tc>
        <w:tc>
          <w:tcPr>
            <w:tcW w:type="dxa" w:w="2016"/>
          </w:tcPr>
          <w:p>
            <w:pPr>
              <w:jc w:val="center"/>
            </w:pPr>
            <w:r>
              <w:rPr>
                <w:sz w:val="20"/>
              </w:rPr>
              <w:t>Country field</w:t>
            </w:r>
          </w:p>
        </w:tc>
        <w:tc>
          <w:tcPr>
            <w:tcW w:type="dxa" w:w="2304"/>
          </w:tcPr>
          <w:p>
            <w:pPr>
              <w:jc w:val="center"/>
            </w:pPr>
            <w:r>
              <w:rPr>
                <w:sz w:val="20"/>
              </w:rPr>
              <w:t>Top-N countries + Other</w:t>
            </w:r>
          </w:p>
        </w:tc>
      </w:tr>
      <w:tr>
        <w:tc>
          <w:tcPr>
            <w:tcW w:type="dxa" w:w="2304"/>
          </w:tcPr>
          <w:p>
            <w:pPr>
              <w:jc w:val="center"/>
            </w:pPr>
            <w:r>
              <w:rPr>
                <w:sz w:val="20"/>
              </w:rPr>
              <w:t>KPC_pos, NDM_pos, OXA_pos, VIM_pos, IMP_pos, GES_pos</w:t>
            </w:r>
          </w:p>
        </w:tc>
        <w:tc>
          <w:tcPr>
            <w:tcW w:type="dxa" w:w="1440"/>
          </w:tcPr>
          <w:p>
            <w:pPr>
              <w:jc w:val="center"/>
            </w:pPr>
            <w:r>
              <w:rPr>
                <w:sz w:val="20"/>
              </w:rPr>
              <w:t>Binary (0/1)</w:t>
            </w:r>
          </w:p>
        </w:tc>
        <w:tc>
          <w:tcPr>
            <w:tcW w:type="dxa" w:w="2016"/>
          </w:tcPr>
          <w:p>
            <w:pPr>
              <w:jc w:val="center"/>
            </w:pPr>
            <w:r>
              <w:rPr>
                <w:sz w:val="20"/>
              </w:rPr>
              <w:t>PCR resistance genes</w:t>
            </w:r>
          </w:p>
        </w:tc>
        <w:tc>
          <w:tcPr>
            <w:tcW w:type="dxa" w:w="2304"/>
          </w:tcPr>
          <w:p>
            <w:pPr>
              <w:jc w:val="center"/>
            </w:pPr>
            <w:r>
              <w:rPr>
                <w:sz w:val="20"/>
              </w:rPr>
              <w:t>ATLAS panel</w:t>
            </w:r>
          </w:p>
        </w:tc>
      </w:tr>
      <w:tr>
        <w:tc>
          <w:tcPr>
            <w:tcW w:type="dxa" w:w="2304"/>
          </w:tcPr>
          <w:p>
            <w:pPr>
              <w:jc w:val="center"/>
            </w:pPr>
            <w:r>
              <w:rPr>
                <w:sz w:val="20"/>
              </w:rPr>
              <w:t>is_censored</w:t>
            </w:r>
          </w:p>
        </w:tc>
        <w:tc>
          <w:tcPr>
            <w:tcW w:type="dxa" w:w="1440"/>
          </w:tcPr>
          <w:p>
            <w:pPr>
              <w:jc w:val="center"/>
            </w:pPr>
            <w:r>
              <w:rPr>
                <w:sz w:val="20"/>
              </w:rPr>
              <w:t>Binary (0/1)</w:t>
            </w:r>
          </w:p>
        </w:tc>
        <w:tc>
          <w:tcPr>
            <w:tcW w:type="dxa" w:w="2016"/>
          </w:tcPr>
          <w:p>
            <w:pPr>
              <w:jc w:val="center"/>
            </w:pPr>
            <w:r>
              <w:rPr>
                <w:sz w:val="20"/>
              </w:rPr>
              <w:t>MIC operator (&gt;, &lt;=)</w:t>
            </w:r>
          </w:p>
        </w:tc>
        <w:tc>
          <w:tcPr>
            <w:tcW w:type="dxa" w:w="2304"/>
          </w:tcPr>
          <w:p>
            <w:pPr>
              <w:jc w:val="center"/>
            </w:pPr>
            <w:r>
              <w:rPr>
                <w:sz w:val="20"/>
              </w:rPr>
              <w:t>Data artifact flag</w:t>
            </w:r>
          </w:p>
        </w:tc>
      </w:tr>
      <w:tr>
        <w:tc>
          <w:tcPr>
            <w:tcW w:type="dxa" w:w="2304"/>
          </w:tcPr>
          <w:p>
            <w:pPr>
              <w:jc w:val="center"/>
            </w:pPr>
            <w:r>
              <w:rPr>
                <w:sz w:val="20"/>
              </w:rPr>
              <w:t>pct_censored_year</w:t>
            </w:r>
          </w:p>
        </w:tc>
        <w:tc>
          <w:tcPr>
            <w:tcW w:type="dxa" w:w="1440"/>
          </w:tcPr>
          <w:p>
            <w:pPr>
              <w:jc w:val="center"/>
            </w:pPr>
            <w:r>
              <w:rPr>
                <w:sz w:val="20"/>
              </w:rPr>
              <w:t>Float [0,1]</w:t>
            </w:r>
          </w:p>
        </w:tc>
        <w:tc>
          <w:tcPr>
            <w:tcW w:type="dxa" w:w="2016"/>
          </w:tcPr>
          <w:p>
            <w:pPr>
              <w:jc w:val="center"/>
            </w:pPr>
            <w:r>
              <w:rPr>
                <w:sz w:val="20"/>
              </w:rPr>
              <w:t>Computed per year</w:t>
            </w:r>
          </w:p>
        </w:tc>
        <w:tc>
          <w:tcPr>
            <w:tcW w:type="dxa" w:w="2304"/>
          </w:tcPr>
          <w:p>
            <w:pPr>
              <w:jc w:val="center"/>
            </w:pPr>
            <w:r>
              <w:rPr>
                <w:sz w:val="20"/>
              </w:rPr>
              <w:t>Controls panel methodology shifts</w:t>
            </w:r>
          </w:p>
        </w:tc>
      </w:tr>
    </w:tbl>
    <w:p/>
    <w:p>
      <w:pPr>
        <w:spacing w:before="0" w:after="80"/>
      </w:pPr>
      <w:r>
        <w:rPr>
          <w:rFonts w:ascii="Calibri" w:hAnsi="Calibri"/>
          <w:b w:val="0"/>
          <w:sz w:val="22"/>
        </w:rPr>
        <w:t>Target variable: log2(MIC_numeric) - continuous regression target.</w:t>
      </w:r>
    </w:p>
    <w:p>
      <w:pPr>
        <w:spacing w:before="120" w:after="60"/>
      </w:pPr>
      <w:r>
        <w:rPr>
          <w:rFonts w:ascii="Calibri" w:hAnsi="Calibri"/>
          <w:b/>
          <w:color w:val="000000"/>
          <w:sz w:val="22"/>
        </w:rPr>
        <w:t>3.2 Data Cleaning Procedures</w:t>
      </w:r>
    </w:p>
    <w:p>
      <w:pPr>
        <w:spacing w:before="0" w:after="80"/>
      </w:pPr>
      <w:r>
        <w:rPr>
          <w:rFonts w:ascii="Calibri" w:hAnsi="Calibri"/>
          <w:b w:val="0"/>
          <w:sz w:val="22"/>
        </w:rPr>
        <w:t>MIC string parsing: Raw ATLAS MIC values are stored as strings with comparison operators (e.g., '&gt;8', '&lt;=0.5', '0.25'). A regex parser extracts the operator and numeric value. Unparseable entries (malformed strings, nulls) are dropped.</w:t>
      </w:r>
    </w:p>
    <w:p>
      <w:pPr>
        <w:spacing w:before="0" w:after="80"/>
      </w:pPr>
      <w:r>
        <w:rPr>
          <w:rFonts w:ascii="Calibri" w:hAnsi="Calibri"/>
          <w:b w:val="0"/>
          <w:sz w:val="22"/>
        </w:rPr>
        <w:t>Censored MIC imputation: When the assay panel cannot bound the true MIC, labs report censored values. These are resolved using boundary doubling-dilution logic: &gt;8 -&gt; 16 (one step above ceiling), &lt;=0.5 -&gt; 0.25 (one step below floor). This is a conservative approximation - it systematically underestimates true MIC for highly resistant isolates, which is acknowledged as a limitation.</w:t>
      </w:r>
    </w:p>
    <w:p>
      <w:pPr>
        <w:spacing w:before="0" w:after="80"/>
      </w:pPr>
      <w:r>
        <w:rPr>
          <w:rFonts w:ascii="Calibri" w:hAnsi="Calibri"/>
          <w:b w:val="0"/>
          <w:sz w:val="22"/>
        </w:rPr>
        <w:t>Log2 transformation: MIC values follow a log-normal distribution due to the doubling-dilution assay design. Log2 transformation produces a near-symmetric distribution suitable for regression. Each integer unit in log2 space corresponds to one doubling dilution step (a clinically standard unit of comparison).</w:t>
      </w:r>
    </w:p>
    <w:p>
      <w:pPr>
        <w:spacing w:before="0" w:after="80"/>
      </w:pPr>
      <w:r>
        <w:rPr>
          <w:rFonts w:ascii="Calibri" w:hAnsi="Calibri"/>
          <w:b w:val="0"/>
          <w:sz w:val="22"/>
        </w:rPr>
        <w:t>Specimen type standardization: The free-text Source field is mapped to 5 categories (wound, blood, respiratory, urine, peritoneal) using substring matching. Unmatched entries are labeled 'other' (reference category).</w:t>
      </w:r>
    </w:p>
    <w:p>
      <w:pPr>
        <w:spacing w:before="0" w:after="80"/>
      </w:pPr>
      <w:r>
        <w:rPr>
          <w:rFonts w:ascii="Calibri" w:hAnsi="Calibri"/>
          <w:b w:val="0"/>
          <w:sz w:val="22"/>
        </w:rPr>
        <w:t>Country encoding: All countries appearing in the training set are one-hot encoded. Countries appearing only in the test set (or infrequently) are grouped as the reference category via drop_first encoding. This handles novel surveillance regions without breaking the model.</w:t>
      </w:r>
    </w:p>
    <w:p>
      <w:pPr>
        <w:spacing w:before="0" w:after="80"/>
      </w:pPr>
      <w:r>
        <w:rPr>
          <w:rFonts w:ascii="Calibri" w:hAnsi="Calibri"/>
          <w:b w:val="0"/>
          <w:sz w:val="22"/>
        </w:rPr>
        <w:t>Dataset filter: Only Meropenem measurements are retained. Merck/SMART data were excluded per Vivli challenge rules.</w:t>
      </w:r>
    </w:p>
    <w:p>
      <w:pPr>
        <w:spacing w:before="120" w:after="60"/>
      </w:pPr>
      <w:r>
        <w:rPr>
          <w:rFonts w:ascii="Calibri" w:hAnsi="Calibri"/>
          <w:b/>
          <w:color w:val="000000"/>
          <w:sz w:val="22"/>
        </w:rPr>
        <w:t>3.3 Missing Value Treatment</w:t>
      </w:r>
    </w:p>
    <w:p>
      <w:pPr>
        <w:spacing w:before="0" w:after="80"/>
      </w:pPr>
      <w:r>
        <w:rPr>
          <w:rFonts w:ascii="Calibri" w:hAnsi="Calibri"/>
          <w:b w:val="0"/>
          <w:sz w:val="22"/>
        </w:rPr>
        <w:t>MIC value: rows with null or unparseable MIC are dropped (~0.3% of records). No imputation - a null MIC cannot be meaningfully approximated.</w:t>
      </w:r>
    </w:p>
    <w:p>
      <w:pPr>
        <w:spacing w:before="0" w:after="80"/>
      </w:pPr>
      <w:r>
        <w:rPr>
          <w:rFonts w:ascii="Calibri" w:hAnsi="Calibri"/>
          <w:b w:val="0"/>
          <w:sz w:val="22"/>
        </w:rPr>
        <w:t>Gender: missing gender is treated as a separate category (not imputed). The gender_male binary flag is 0 for both female and unknown.</w:t>
      </w:r>
    </w:p>
    <w:p>
      <w:pPr>
        <w:spacing w:before="0" w:after="80"/>
      </w:pPr>
      <w:r>
        <w:rPr>
          <w:rFonts w:ascii="Calibri" w:hAnsi="Calibri"/>
          <w:b w:val="0"/>
          <w:sz w:val="22"/>
        </w:rPr>
        <w:t>Age group: missing age is treated as 'adult' (reference category) - both age_paediatric and age_elderly flags are 0.</w:t>
      </w:r>
    </w:p>
    <w:p>
      <w:pPr>
        <w:spacing w:before="0" w:after="80"/>
      </w:pPr>
      <w:r>
        <w:rPr>
          <w:rFonts w:ascii="Calibri" w:hAnsi="Calibri"/>
          <w:b w:val="0"/>
          <w:sz w:val="22"/>
        </w:rPr>
        <w:t>Country: missing or unrecognized country is absorbed into the reference category (no separate OHE column created). The model does not see it as a distinct signal.</w:t>
      </w:r>
    </w:p>
    <w:p>
      <w:pPr>
        <w:spacing w:before="0" w:after="80"/>
      </w:pPr>
      <w:r>
        <w:rPr>
          <w:rFonts w:ascii="Calibri" w:hAnsi="Calibri"/>
          <w:b w:val="0"/>
          <w:sz w:val="22"/>
        </w:rPr>
        <w:t>Specimen source: NaN source is mapped to 'other' (reference category) by the map_specimen function.</w:t>
      </w:r>
    </w:p>
    <w:p>
      <w:pPr>
        <w:spacing w:before="0" w:after="80"/>
      </w:pPr>
      <w:r>
        <w:rPr>
          <w:rFonts w:ascii="Calibri" w:hAnsi="Calibri"/>
          <w:b w:val="0"/>
          <w:sz w:val="22"/>
        </w:rPr>
        <w:t>Resistance genes: missing gene PCR result in ATLAS is treated as 0 (not detected). This is a known limitation - absence of a PCR result and true gene absence are treated identically.</w:t>
      </w:r>
    </w:p>
    <w:p>
      <w:pPr>
        <w:spacing w:before="120" w:after="60"/>
      </w:pPr>
      <w:r>
        <w:rPr>
          <w:rFonts w:ascii="Calibri" w:hAnsi="Calibri"/>
          <w:b/>
          <w:color w:val="000000"/>
          <w:sz w:val="22"/>
        </w:rPr>
        <w:t>3.4 Descriptive Statistics</w:t>
      </w:r>
    </w:p>
    <w:p>
      <w:pPr>
        <w:spacing w:before="0" w:after="80"/>
      </w:pPr>
      <w:r>
        <w:rPr>
          <w:rFonts w:ascii="Calibri" w:hAnsi="Calibri"/>
          <w:b w:val="0"/>
          <w:sz w:val="22"/>
        </w:rPr>
        <w:t>The MIC distributions for the two species are structurally different, which drives diverging model performance. K. pneumoniae has a strongly bimodal distribution: ~75% of isolates pile at the assay floor (censored, MIC &lt;= 0.25 mg/L) because most strains are fully susceptible. A. baumannii has a much more spread distribution with ~25% resistance prevalence, closer to a unimodal log-normal.</w:t>
      </w:r>
    </w:p>
    <w:p>
      <w:pPr>
        <w:spacing w:before="0" w:after="80"/>
      </w:pPr>
      <w:r>
        <w:rPr>
          <w:rFonts w:ascii="Calibri" w:hAnsi="Calibri"/>
          <w:b w:val="0"/>
          <w:sz w:val="22"/>
        </w:rPr>
        <w:t>Table 3: Key descriptive statistics (log2 MIC, test set 2019-2022)</w:t>
      </w:r>
    </w:p>
    <w:tbl>
      <w:tblPr>
        <w:tblStyle w:val="TableGrid"/>
        <w:tblW w:type="auto" w:w="0"/>
        <w:tblLook w:firstColumn="1" w:firstRow="1" w:lastColumn="0" w:lastRow="0" w:noHBand="0" w:noVBand="1" w:val="04A0"/>
      </w:tblPr>
      <w:tblGrid>
        <w:gridCol w:w="3120"/>
        <w:gridCol w:w="3120"/>
        <w:gridCol w:w="3120"/>
      </w:tblGrid>
      <w:tr>
        <w:tc>
          <w:tcPr>
            <w:tcW w:type="dxa" w:w="3168"/>
          </w:tcPr>
          <w:p>
            <w:pPr>
              <w:jc w:val="center"/>
            </w:pPr>
            <w:r>
              <w:rPr>
                <w:b/>
                <w:sz w:val="20"/>
              </w:rPr>
              <w:t>Statistic</w:t>
            </w:r>
          </w:p>
        </w:tc>
        <w:tc>
          <w:tcPr>
            <w:tcW w:type="dxa" w:w="2880"/>
          </w:tcPr>
          <w:p>
            <w:pPr>
              <w:jc w:val="center"/>
            </w:pPr>
            <w:r>
              <w:rPr>
                <w:b/>
                <w:sz w:val="20"/>
              </w:rPr>
              <w:t>K. pneumoniae</w:t>
            </w:r>
          </w:p>
        </w:tc>
        <w:tc>
          <w:tcPr>
            <w:tcW w:type="dxa" w:w="2880"/>
          </w:tcPr>
          <w:p>
            <w:pPr>
              <w:jc w:val="center"/>
            </w:pPr>
            <w:r>
              <w:rPr>
                <w:b/>
                <w:sz w:val="20"/>
              </w:rPr>
              <w:t>A. baumannii</w:t>
            </w:r>
          </w:p>
        </w:tc>
      </w:tr>
      <w:tr>
        <w:tc>
          <w:tcPr>
            <w:tcW w:type="dxa" w:w="3168"/>
          </w:tcPr>
          <w:p>
            <w:pPr>
              <w:jc w:val="center"/>
            </w:pPr>
            <w:r>
              <w:rPr>
                <w:sz w:val="20"/>
              </w:rPr>
              <w:t>Test set size</w:t>
            </w:r>
          </w:p>
        </w:tc>
        <w:tc>
          <w:tcPr>
            <w:tcW w:type="dxa" w:w="2880"/>
          </w:tcPr>
          <w:p>
            <w:pPr>
              <w:jc w:val="center"/>
            </w:pPr>
            <w:r>
              <w:rPr>
                <w:sz w:val="20"/>
              </w:rPr>
              <w:t>27,792</w:t>
            </w:r>
          </w:p>
        </w:tc>
        <w:tc>
          <w:tcPr>
            <w:tcW w:type="dxa" w:w="2880"/>
          </w:tcPr>
          <w:p>
            <w:pPr>
              <w:jc w:val="center"/>
            </w:pPr>
            <w:r>
              <w:rPr>
                <w:sz w:val="20"/>
              </w:rPr>
              <w:t>13,550</w:t>
            </w:r>
          </w:p>
        </w:tc>
      </w:tr>
      <w:tr>
        <w:tc>
          <w:tcPr>
            <w:tcW w:type="dxa" w:w="3168"/>
          </w:tcPr>
          <w:p>
            <w:pPr>
              <w:jc w:val="center"/>
            </w:pPr>
            <w:r>
              <w:rPr>
                <w:sz w:val="20"/>
              </w:rPr>
              <w:t>% resistant (MIC&gt;8 mg/L)</w:t>
            </w:r>
          </w:p>
        </w:tc>
        <w:tc>
          <w:tcPr>
            <w:tcW w:type="dxa" w:w="2880"/>
          </w:tcPr>
          <w:p>
            <w:pPr>
              <w:jc w:val="center"/>
            </w:pPr>
            <w:r>
              <w:rPr>
                <w:sz w:val="20"/>
              </w:rPr>
              <w:t>~16.5%</w:t>
            </w:r>
          </w:p>
        </w:tc>
        <w:tc>
          <w:tcPr>
            <w:tcW w:type="dxa" w:w="2880"/>
          </w:tcPr>
          <w:p>
            <w:pPr>
              <w:jc w:val="center"/>
            </w:pPr>
            <w:r>
              <w:rPr>
                <w:sz w:val="20"/>
              </w:rPr>
              <w:t>~68.5%</w:t>
            </w:r>
          </w:p>
        </w:tc>
      </w:tr>
      <w:tr>
        <w:tc>
          <w:tcPr>
            <w:tcW w:type="dxa" w:w="3168"/>
          </w:tcPr>
          <w:p>
            <w:pPr>
              <w:jc w:val="center"/>
            </w:pPr>
            <w:r>
              <w:rPr>
                <w:sz w:val="20"/>
              </w:rPr>
              <w:t>Resistant isolates (n)</w:t>
            </w:r>
          </w:p>
        </w:tc>
        <w:tc>
          <w:tcPr>
            <w:tcW w:type="dxa" w:w="2880"/>
          </w:tcPr>
          <w:p>
            <w:pPr>
              <w:jc w:val="center"/>
            </w:pPr>
            <w:r>
              <w:rPr>
                <w:sz w:val="20"/>
              </w:rPr>
              <w:t>4,588</w:t>
            </w:r>
          </w:p>
        </w:tc>
        <w:tc>
          <w:tcPr>
            <w:tcW w:type="dxa" w:w="2880"/>
          </w:tcPr>
          <w:p>
            <w:pPr>
              <w:jc w:val="center"/>
            </w:pPr>
            <w:r>
              <w:rPr>
                <w:sz w:val="20"/>
              </w:rPr>
              <w:t>9,272</w:t>
            </w:r>
          </w:p>
        </w:tc>
      </w:tr>
      <w:tr>
        <w:tc>
          <w:tcPr>
            <w:tcW w:type="dxa" w:w="3168"/>
          </w:tcPr>
          <w:p>
            <w:pPr>
              <w:jc w:val="center"/>
            </w:pPr>
            <w:r>
              <w:rPr>
                <w:sz w:val="20"/>
              </w:rPr>
              <w:t>% censored MIC</w:t>
            </w:r>
          </w:p>
        </w:tc>
        <w:tc>
          <w:tcPr>
            <w:tcW w:type="dxa" w:w="2880"/>
          </w:tcPr>
          <w:p>
            <w:pPr>
              <w:jc w:val="center"/>
            </w:pPr>
            <w:r>
              <w:rPr>
                <w:sz w:val="20"/>
              </w:rPr>
              <w:t>~75%</w:t>
            </w:r>
          </w:p>
        </w:tc>
        <w:tc>
          <w:tcPr>
            <w:tcW w:type="dxa" w:w="2880"/>
          </w:tcPr>
          <w:p>
            <w:pPr>
              <w:jc w:val="center"/>
            </w:pPr>
            <w:r>
              <w:rPr>
                <w:sz w:val="20"/>
              </w:rPr>
              <w:t>~10%</w:t>
            </w:r>
          </w:p>
        </w:tc>
      </w:tr>
      <w:tr>
        <w:tc>
          <w:tcPr>
            <w:tcW w:type="dxa" w:w="3168"/>
          </w:tcPr>
          <w:p>
            <w:pPr>
              <w:jc w:val="center"/>
            </w:pPr>
            <w:r>
              <w:rPr>
                <w:sz w:val="20"/>
              </w:rPr>
              <w:t>log2(MIC) range</w:t>
            </w:r>
          </w:p>
        </w:tc>
        <w:tc>
          <w:tcPr>
            <w:tcW w:type="dxa" w:w="2880"/>
          </w:tcPr>
          <w:p>
            <w:pPr>
              <w:jc w:val="center"/>
            </w:pPr>
            <w:r>
              <w:rPr>
                <w:sz w:val="20"/>
              </w:rPr>
              <w:t>-2 to +5</w:t>
            </w:r>
          </w:p>
        </w:tc>
        <w:tc>
          <w:tcPr>
            <w:tcW w:type="dxa" w:w="2880"/>
          </w:tcPr>
          <w:p>
            <w:pPr>
              <w:jc w:val="center"/>
            </w:pPr>
            <w:r>
              <w:rPr>
                <w:sz w:val="20"/>
              </w:rPr>
              <w:t>-2 to +5</w:t>
            </w:r>
          </w:p>
        </w:tc>
      </w:tr>
      <w:tr>
        <w:tc>
          <w:tcPr>
            <w:tcW w:type="dxa" w:w="3168"/>
          </w:tcPr>
          <w:p>
            <w:pPr>
              <w:jc w:val="center"/>
            </w:pPr>
            <w:r>
              <w:rPr>
                <w:sz w:val="20"/>
              </w:rPr>
              <w:t>Dominant mode</w:t>
            </w:r>
          </w:p>
        </w:tc>
        <w:tc>
          <w:tcPr>
            <w:tcW w:type="dxa" w:w="2880"/>
          </w:tcPr>
          <w:p>
            <w:pPr>
              <w:jc w:val="center"/>
            </w:pPr>
            <w:r>
              <w:rPr>
                <w:sz w:val="20"/>
              </w:rPr>
              <w:t>log2(0.25) = -2</w:t>
            </w:r>
          </w:p>
        </w:tc>
        <w:tc>
          <w:tcPr>
            <w:tcW w:type="dxa" w:w="2880"/>
          </w:tcPr>
          <w:p>
            <w:pPr>
              <w:jc w:val="center"/>
            </w:pPr>
            <w:r>
              <w:rPr>
                <w:sz w:val="20"/>
              </w:rPr>
              <w:t>log2(8) = +3</w:t>
            </w:r>
          </w:p>
        </w:tc>
      </w:tr>
    </w:tbl>
    <w:p/>
    <w:p>
      <w:pPr>
        <w:spacing w:before="0" w:after="80"/>
      </w:pPr>
      <w:r>
        <w:rPr>
          <w:rFonts w:ascii="Calibri" w:hAnsi="Calibri"/>
          <w:b w:val="0"/>
          <w:sz w:val="22"/>
        </w:rPr>
        <w:t>EDA charts (MIC distribution histograms, year-over-year MIC90 trends, resistance prevalence by country) are available in reports/eda/ and reports/model/.</w:t>
      </w:r>
    </w:p>
    <w:p>
      <w:pPr>
        <w:spacing w:before="200" w:after="60"/>
      </w:pPr>
      <w:r>
        <w:rPr>
          <w:rFonts w:ascii="Calibri" w:hAnsi="Calibri"/>
          <w:b/>
          <w:color w:val="1F497D"/>
          <w:sz w:val="26"/>
        </w:rPr>
        <w:t>4. Methodology</w:t>
      </w:r>
    </w:p>
    <w:p>
      <w:pPr>
        <w:spacing w:before="120" w:after="60"/>
      </w:pPr>
      <w:r>
        <w:rPr>
          <w:rFonts w:ascii="Calibri" w:hAnsi="Calibri"/>
          <w:b/>
          <w:color w:val="000000"/>
          <w:sz w:val="22"/>
        </w:rPr>
        <w:t>4.1 Feature Engineering</w:t>
      </w:r>
    </w:p>
    <w:p>
      <w:pPr>
        <w:spacing w:before="0" w:after="80"/>
      </w:pPr>
      <w:r>
        <w:rPr>
          <w:rFonts w:ascii="Calibri" w:hAnsi="Calibri"/>
          <w:b w:val="0"/>
          <w:sz w:val="22"/>
        </w:rPr>
        <w:t>Features: year (ordinal), country (one-hot encoded, top-N + 'Other'), age_group (paediatric/adult/elderly), sex (binary), specimen_type (wound/blood/urine/respiratory/other), is_censored (data artifact flag), pct_censored_year (rolling censoring rate per year). The target variable is log2(MIC_numeric).</w:t>
      </w:r>
    </w:p>
    <w:p>
      <w:pPr>
        <w:spacing w:before="120" w:after="60"/>
      </w:pPr>
      <w:r>
        <w:rPr>
          <w:rFonts w:ascii="Calibri" w:hAnsi="Calibri"/>
          <w:b/>
          <w:color w:val="000000"/>
          <w:sz w:val="22"/>
        </w:rPr>
        <w:t>4.2 Time-Aware Train/Test Split</w:t>
      </w:r>
    </w:p>
    <w:p>
      <w:pPr>
        <w:spacing w:before="0" w:after="80"/>
      </w:pPr>
      <w:r>
        <w:rPr>
          <w:rFonts w:ascii="Calibri" w:hAnsi="Calibri"/>
          <w:b w:val="0"/>
          <w:sz w:val="22"/>
        </w:rPr>
        <w:t>Data is split temporally: 2004-2018 for training, 2019-2022 for testing. Random shuffling is explicitly disabled to prevent future data leakage. This split approximates a real-world deployment scenario where the model is trained on historical data and evaluated on unseen future isolates.</w:t>
      </w:r>
    </w:p>
    <w:p>
      <w:pPr>
        <w:spacing w:before="120" w:after="60"/>
      </w:pPr>
      <w:r>
        <w:rPr>
          <w:rFonts w:ascii="Calibri" w:hAnsi="Calibri"/>
          <w:b/>
          <w:color w:val="000000"/>
          <w:sz w:val="22"/>
        </w:rPr>
        <w:t>4.3 Models</w:t>
      </w:r>
    </w:p>
    <w:p>
      <w:pPr>
        <w:spacing w:before="0" w:after="80"/>
      </w:pPr>
      <w:r>
        <w:rPr>
          <w:rFonts w:ascii="Calibri" w:hAnsi="Calibri"/>
          <w:b w:val="0"/>
          <w:sz w:val="22"/>
        </w:rPr>
        <w:t>Three models are trained per species, representing a spectrum from interpretable to accurate. Linear Regression (baseline) provides directly readable year coefficients as the MIC creep rate. Random Forest (200 trees, sklearn defaults) serves as a robust non-linear baseline. XGBoost Regressor with Optuna hyperparameter tuning (60 trials, 5-fold time-aware CV) is the primary model. All three are evaluated on: (a) all test isolates, and (b) the clinically critical resistant subset (MIC &gt; 8 mg/L, EUCAST breakpoint).</w:t>
      </w:r>
    </w:p>
    <w:p>
      <w:pPr>
        <w:spacing w:before="120" w:after="60"/>
      </w:pPr>
      <w:r>
        <w:rPr>
          <w:rFonts w:ascii="Calibri" w:hAnsi="Calibri"/>
          <w:b/>
          <w:color w:val="000000"/>
          <w:sz w:val="22"/>
        </w:rPr>
        <w:t>4.4 Explainability</w:t>
      </w:r>
    </w:p>
    <w:p>
      <w:pPr>
        <w:spacing w:before="0" w:after="80"/>
      </w:pPr>
      <w:r>
        <w:rPr>
          <w:rFonts w:ascii="Calibri" w:hAnsi="Calibri"/>
          <w:b w:val="0"/>
          <w:sz w:val="22"/>
        </w:rPr>
        <w:t>SHAP (SHapley Additive exPlanations) values are computed for both models to explain feature contributions to individual predictions. Beeswarm plots visualize the direction and magnitude of each feature's influence. Outputs were validated for biological plausibility by the domain expert.</w:t>
      </w:r>
    </w:p>
    <w:p>
      <w:pPr>
        <w:spacing w:before="200" w:after="60"/>
      </w:pPr>
      <w:r>
        <w:rPr>
          <w:rFonts w:ascii="Calibri" w:hAnsi="Calibri"/>
          <w:b/>
          <w:color w:val="1F497D"/>
          <w:sz w:val="26"/>
        </w:rPr>
        <w:t>5. Results</w:t>
      </w:r>
    </w:p>
    <w:p>
      <w:pPr>
        <w:spacing w:before="0" w:after="80"/>
      </w:pPr>
      <w:r>
        <w:rPr>
          <w:rFonts w:ascii="Calibri" w:hAnsi="Calibri"/>
          <w:b w:val="0"/>
          <w:sz w:val="22"/>
        </w:rPr>
        <w:t>Table 2: Model Performance on Test Set (2019-2022)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016"/>
          </w:tcPr>
          <w:p>
            <w:pPr>
              <w:jc w:val="center"/>
            </w:pPr>
            <w:r>
              <w:rPr>
                <w:b/>
                <w:sz w:val="20"/>
              </w:rPr>
              <w:t>Species</w:t>
            </w:r>
          </w:p>
        </w:tc>
        <w:tc>
          <w:tcPr>
            <w:tcW w:type="dxa" w:w="2160"/>
          </w:tcPr>
          <w:p>
            <w:pPr>
              <w:jc w:val="center"/>
            </w:pPr>
            <w:r>
              <w:rPr>
                <w:b/>
                <w:sz w:val="20"/>
              </w:rPr>
              <w:t>Model</w:t>
            </w:r>
          </w:p>
        </w:tc>
        <w:tc>
          <w:tcPr>
            <w:tcW w:type="dxa" w:w="1224"/>
          </w:tcPr>
          <w:p>
            <w:pPr>
              <w:jc w:val="center"/>
            </w:pPr>
            <w:r>
              <w:rPr>
                <w:b/>
                <w:sz w:val="20"/>
              </w:rPr>
              <w:t>RMSE (all)</w:t>
            </w:r>
          </w:p>
        </w:tc>
        <w:tc>
          <w:tcPr>
            <w:tcW w:type="dxa" w:w="1224"/>
          </w:tcPr>
          <w:p>
            <w:pPr>
              <w:jc w:val="center"/>
            </w:pPr>
            <w:r>
              <w:rPr>
                <w:b/>
                <w:sz w:val="20"/>
              </w:rPr>
              <w:t>MAE (all)</w:t>
            </w:r>
          </w:p>
        </w:tc>
        <w:tc>
          <w:tcPr>
            <w:tcW w:type="dxa" w:w="936"/>
          </w:tcPr>
          <w:p>
            <w:pPr>
              <w:jc w:val="center"/>
            </w:pPr>
            <w:r>
              <w:rPr>
                <w:b/>
                <w:sz w:val="20"/>
              </w:rPr>
              <w:t>R2 (all)</w:t>
            </w:r>
          </w:p>
        </w:tc>
        <w:tc>
          <w:tcPr>
            <w:tcW w:type="dxa" w:w="1224"/>
          </w:tcPr>
          <w:p>
            <w:pPr>
              <w:jc w:val="center"/>
            </w:pPr>
            <w:r>
              <w:rPr>
                <w:b/>
                <w:sz w:val="20"/>
              </w:rPr>
              <w:t>RMSE (R)</w:t>
            </w:r>
          </w:p>
        </w:tc>
        <w:tc>
          <w:tcPr>
            <w:tcW w:type="dxa" w:w="1224"/>
          </w:tcPr>
          <w:p>
            <w:pPr>
              <w:jc w:val="center"/>
            </w:pPr>
            <w:r>
              <w:rPr>
                <w:b/>
                <w:sz w:val="20"/>
              </w:rPr>
              <w:t>MAE (R)</w:t>
            </w:r>
          </w:p>
        </w:tc>
      </w:tr>
      <w:tr>
        <w:tc>
          <w:tcPr>
            <w:tcW w:type="dxa" w:w="2016"/>
          </w:tcPr>
          <w:p>
            <w:pPr>
              <w:jc w:val="center"/>
            </w:pPr>
            <w:r>
              <w:rPr>
                <w:sz w:val="20"/>
              </w:rPr>
              <w:t>K. pneumoniae</w:t>
            </w:r>
          </w:p>
        </w:tc>
        <w:tc>
          <w:tcPr>
            <w:tcW w:type="dxa" w:w="2160"/>
          </w:tcPr>
          <w:p>
            <w:pPr>
              <w:jc w:val="center"/>
            </w:pPr>
            <w:r>
              <w:rPr>
                <w:sz w:val="20"/>
              </w:rPr>
              <w:t>Linear Regression</w:t>
            </w:r>
          </w:p>
        </w:tc>
        <w:tc>
          <w:tcPr>
            <w:tcW w:type="dxa" w:w="1224"/>
          </w:tcPr>
          <w:p>
            <w:pPr>
              <w:jc w:val="center"/>
            </w:pPr>
            <w:r>
              <w:rPr>
                <w:sz w:val="20"/>
              </w:rPr>
              <w:t>~2.10</w:t>
            </w:r>
          </w:p>
        </w:tc>
        <w:tc>
          <w:tcPr>
            <w:tcW w:type="dxa" w:w="1224"/>
          </w:tcPr>
          <w:p>
            <w:pPr>
              <w:jc w:val="center"/>
            </w:pPr>
            <w:r>
              <w:rPr>
                <w:sz w:val="20"/>
              </w:rPr>
              <w:t>~1.65</w:t>
            </w:r>
          </w:p>
        </w:tc>
        <w:tc>
          <w:tcPr>
            <w:tcW w:type="dxa" w:w="936"/>
          </w:tcPr>
          <w:p>
            <w:pPr>
              <w:jc w:val="center"/>
            </w:pPr>
            <w:r>
              <w:rPr>
                <w:sz w:val="20"/>
              </w:rPr>
              <w:t>~0.05</w:t>
            </w:r>
          </w:p>
        </w:tc>
        <w:tc>
          <w:tcPr>
            <w:tcW w:type="dxa" w:w="1224"/>
          </w:tcPr>
          <w:p>
            <w:pPr>
              <w:jc w:val="center"/>
            </w:pPr>
            <w:r>
              <w:rPr>
                <w:sz w:val="20"/>
              </w:rPr>
              <w:t>~4.18</w:t>
            </w:r>
          </w:p>
        </w:tc>
        <w:tc>
          <w:tcPr>
            <w:tcW w:type="dxa" w:w="1224"/>
          </w:tcPr>
          <w:p>
            <w:pPr>
              <w:jc w:val="center"/>
            </w:pPr>
            <w:r>
              <w:rPr>
                <w:sz w:val="20"/>
              </w:rPr>
              <w:t>~3.40</w:t>
            </w:r>
          </w:p>
        </w:tc>
      </w:tr>
      <w:tr>
        <w:tc>
          <w:tcPr>
            <w:tcW w:type="dxa" w:w="2016"/>
          </w:tcPr>
          <w:p>
            <w:pPr>
              <w:jc w:val="center"/>
            </w:pPr>
            <w:r>
              <w:rPr>
                <w:sz w:val="20"/>
              </w:rPr>
              <w:t>K. pneumoniae</w:t>
            </w:r>
          </w:p>
        </w:tc>
        <w:tc>
          <w:tcPr>
            <w:tcW w:type="dxa" w:w="2160"/>
          </w:tcPr>
          <w:p>
            <w:pPr>
              <w:jc w:val="center"/>
            </w:pPr>
            <w:r>
              <w:rPr>
                <w:sz w:val="20"/>
              </w:rPr>
              <w:t>Random Forest</w:t>
            </w:r>
          </w:p>
        </w:tc>
        <w:tc>
          <w:tcPr>
            <w:tcW w:type="dxa" w:w="1224"/>
          </w:tcPr>
          <w:p>
            <w:pPr>
              <w:jc w:val="center"/>
            </w:pPr>
            <w:r>
              <w:rPr>
                <w:sz w:val="20"/>
              </w:rPr>
              <w:t>1.558</w:t>
            </w:r>
          </w:p>
        </w:tc>
        <w:tc>
          <w:tcPr>
            <w:tcW w:type="dxa" w:w="1224"/>
          </w:tcPr>
          <w:p>
            <w:pPr>
              <w:jc w:val="center"/>
            </w:pPr>
            <w:r>
              <w:rPr>
                <w:sz w:val="20"/>
              </w:rPr>
              <w:t>1.109</w:t>
            </w:r>
          </w:p>
        </w:tc>
        <w:tc>
          <w:tcPr>
            <w:tcW w:type="dxa" w:w="936"/>
          </w:tcPr>
          <w:p>
            <w:pPr>
              <w:jc w:val="center"/>
            </w:pPr>
            <w:r>
              <w:rPr>
                <w:sz w:val="20"/>
              </w:rPr>
              <w:t>0.21</w:t>
            </w:r>
          </w:p>
        </w:tc>
        <w:tc>
          <w:tcPr>
            <w:tcW w:type="dxa" w:w="1224"/>
          </w:tcPr>
          <w:p>
            <w:pPr>
              <w:jc w:val="center"/>
            </w:pPr>
            <w:r>
              <w:rPr>
                <w:sz w:val="20"/>
              </w:rPr>
              <w:t>2.869</w:t>
            </w:r>
          </w:p>
        </w:tc>
        <w:tc>
          <w:tcPr>
            <w:tcW w:type="dxa" w:w="1224"/>
          </w:tcPr>
          <w:p>
            <w:pPr>
              <w:jc w:val="center"/>
            </w:pPr>
            <w:r>
              <w:rPr>
                <w:sz w:val="20"/>
              </w:rPr>
              <w:t>2.180</w:t>
            </w:r>
          </w:p>
        </w:tc>
      </w:tr>
      <w:tr>
        <w:tc>
          <w:tcPr>
            <w:tcW w:type="dxa" w:w="2016"/>
          </w:tcPr>
          <w:p>
            <w:pPr>
              <w:jc w:val="center"/>
            </w:pPr>
            <w:r>
              <w:rPr>
                <w:sz w:val="20"/>
              </w:rPr>
              <w:t>K. pneumoniae</w:t>
            </w:r>
          </w:p>
        </w:tc>
        <w:tc>
          <w:tcPr>
            <w:tcW w:type="dxa" w:w="2160"/>
          </w:tcPr>
          <w:p>
            <w:pPr>
              <w:jc w:val="center"/>
            </w:pPr>
            <w:r>
              <w:rPr>
                <w:sz w:val="20"/>
              </w:rPr>
              <w:t>XGBoost Tuned</w:t>
            </w:r>
          </w:p>
        </w:tc>
        <w:tc>
          <w:tcPr>
            <w:tcW w:type="dxa" w:w="1224"/>
          </w:tcPr>
          <w:p>
            <w:pPr>
              <w:jc w:val="center"/>
            </w:pPr>
            <w:r>
              <w:rPr>
                <w:sz w:val="20"/>
              </w:rPr>
              <w:t>1.758</w:t>
            </w:r>
          </w:p>
        </w:tc>
        <w:tc>
          <w:tcPr>
            <w:tcW w:type="dxa" w:w="1224"/>
          </w:tcPr>
          <w:p>
            <w:pPr>
              <w:jc w:val="center"/>
            </w:pPr>
            <w:r>
              <w:rPr>
                <w:sz w:val="20"/>
              </w:rPr>
              <w:t>1.002</w:t>
            </w:r>
          </w:p>
        </w:tc>
        <w:tc>
          <w:tcPr>
            <w:tcW w:type="dxa" w:w="936"/>
          </w:tcPr>
          <w:p>
            <w:pPr>
              <w:jc w:val="center"/>
            </w:pPr>
            <w:r>
              <w:rPr>
                <w:sz w:val="20"/>
              </w:rPr>
              <w:t>-0.01</w:t>
            </w:r>
          </w:p>
        </w:tc>
        <w:tc>
          <w:tcPr>
            <w:tcW w:type="dxa" w:w="1224"/>
          </w:tcPr>
          <w:p>
            <w:pPr>
              <w:jc w:val="center"/>
            </w:pPr>
            <w:r>
              <w:rPr>
                <w:sz w:val="20"/>
              </w:rPr>
              <w:t>1.960</w:t>
            </w:r>
          </w:p>
        </w:tc>
        <w:tc>
          <w:tcPr>
            <w:tcW w:type="dxa" w:w="1224"/>
          </w:tcPr>
          <w:p>
            <w:pPr>
              <w:jc w:val="center"/>
            </w:pPr>
            <w:r>
              <w:rPr>
                <w:sz w:val="20"/>
              </w:rPr>
              <w:t>1.127</w:t>
            </w:r>
          </w:p>
        </w:tc>
      </w:tr>
      <w:tr>
        <w:tc>
          <w:tcPr>
            <w:tcW w:type="dxa" w:w="2016"/>
          </w:tcPr>
          <w:p>
            <w:pPr>
              <w:jc w:val="center"/>
            </w:pPr>
            <w:r>
              <w:rPr>
                <w:sz w:val="20"/>
              </w:rPr>
              <w:t>A. baumannii</w:t>
            </w:r>
          </w:p>
        </w:tc>
        <w:tc>
          <w:tcPr>
            <w:tcW w:type="dxa" w:w="2160"/>
          </w:tcPr>
          <w:p>
            <w:pPr>
              <w:jc w:val="center"/>
            </w:pPr>
            <w:r>
              <w:rPr>
                <w:sz w:val="20"/>
              </w:rPr>
              <w:t>Linear Regression</w:t>
            </w:r>
          </w:p>
        </w:tc>
        <w:tc>
          <w:tcPr>
            <w:tcW w:type="dxa" w:w="1224"/>
          </w:tcPr>
          <w:p>
            <w:pPr>
              <w:jc w:val="center"/>
            </w:pPr>
            <w:r>
              <w:rPr>
                <w:sz w:val="20"/>
              </w:rPr>
              <w:t>~1.72</w:t>
            </w:r>
          </w:p>
        </w:tc>
        <w:tc>
          <w:tcPr>
            <w:tcW w:type="dxa" w:w="1224"/>
          </w:tcPr>
          <w:p>
            <w:pPr>
              <w:jc w:val="center"/>
            </w:pPr>
            <w:r>
              <w:rPr>
                <w:sz w:val="20"/>
              </w:rPr>
              <w:t>~1.20</w:t>
            </w:r>
          </w:p>
        </w:tc>
        <w:tc>
          <w:tcPr>
            <w:tcW w:type="dxa" w:w="936"/>
          </w:tcPr>
          <w:p>
            <w:pPr>
              <w:jc w:val="center"/>
            </w:pPr>
            <w:r>
              <w:rPr>
                <w:sz w:val="20"/>
              </w:rPr>
              <w:t>~0.08</w:t>
            </w:r>
          </w:p>
        </w:tc>
        <w:tc>
          <w:tcPr>
            <w:tcW w:type="dxa" w:w="1224"/>
          </w:tcPr>
          <w:p>
            <w:pPr>
              <w:jc w:val="center"/>
            </w:pPr>
            <w:r>
              <w:rPr>
                <w:sz w:val="20"/>
              </w:rPr>
              <w:t>~1.38</w:t>
            </w:r>
          </w:p>
        </w:tc>
        <w:tc>
          <w:tcPr>
            <w:tcW w:type="dxa" w:w="1224"/>
          </w:tcPr>
          <w:p>
            <w:pPr>
              <w:jc w:val="center"/>
            </w:pPr>
            <w:r>
              <w:rPr>
                <w:sz w:val="20"/>
              </w:rPr>
              <w:t>~0.92</w:t>
            </w:r>
          </w:p>
        </w:tc>
      </w:tr>
      <w:tr>
        <w:tc>
          <w:tcPr>
            <w:tcW w:type="dxa" w:w="2016"/>
          </w:tcPr>
          <w:p>
            <w:pPr>
              <w:jc w:val="center"/>
            </w:pPr>
            <w:r>
              <w:rPr>
                <w:sz w:val="20"/>
              </w:rPr>
              <w:t>A. baumannii</w:t>
            </w:r>
          </w:p>
        </w:tc>
        <w:tc>
          <w:tcPr>
            <w:tcW w:type="dxa" w:w="2160"/>
          </w:tcPr>
          <w:p>
            <w:pPr>
              <w:jc w:val="center"/>
            </w:pPr>
            <w:r>
              <w:rPr>
                <w:sz w:val="20"/>
              </w:rPr>
              <w:t>Random Forest</w:t>
            </w:r>
          </w:p>
        </w:tc>
        <w:tc>
          <w:tcPr>
            <w:tcW w:type="dxa" w:w="1224"/>
          </w:tcPr>
          <w:p>
            <w:pPr>
              <w:jc w:val="center"/>
            </w:pPr>
            <w:r>
              <w:rPr>
                <w:sz w:val="20"/>
              </w:rPr>
              <w:t>1.338</w:t>
            </w:r>
          </w:p>
        </w:tc>
        <w:tc>
          <w:tcPr>
            <w:tcW w:type="dxa" w:w="1224"/>
          </w:tcPr>
          <w:p>
            <w:pPr>
              <w:jc w:val="center"/>
            </w:pPr>
            <w:r>
              <w:rPr>
                <w:sz w:val="20"/>
              </w:rPr>
              <w:t>0.789</w:t>
            </w:r>
          </w:p>
        </w:tc>
        <w:tc>
          <w:tcPr>
            <w:tcW w:type="dxa" w:w="936"/>
          </w:tcPr>
          <w:p>
            <w:pPr>
              <w:jc w:val="center"/>
            </w:pPr>
            <w:r>
              <w:rPr>
                <w:sz w:val="20"/>
              </w:rPr>
              <w:t>0.46</w:t>
            </w:r>
          </w:p>
        </w:tc>
        <w:tc>
          <w:tcPr>
            <w:tcW w:type="dxa" w:w="1224"/>
          </w:tcPr>
          <w:p>
            <w:pPr>
              <w:jc w:val="center"/>
            </w:pPr>
            <w:r>
              <w:rPr>
                <w:sz w:val="20"/>
              </w:rPr>
              <w:t>0.983</w:t>
            </w:r>
          </w:p>
        </w:tc>
        <w:tc>
          <w:tcPr>
            <w:tcW w:type="dxa" w:w="1224"/>
          </w:tcPr>
          <w:p>
            <w:pPr>
              <w:jc w:val="center"/>
            </w:pPr>
            <w:r>
              <w:rPr>
                <w:sz w:val="20"/>
              </w:rPr>
              <w:t>0.510</w:t>
            </w:r>
          </w:p>
        </w:tc>
      </w:tr>
      <w:tr>
        <w:tc>
          <w:tcPr>
            <w:tcW w:type="dxa" w:w="2016"/>
          </w:tcPr>
          <w:p>
            <w:pPr>
              <w:jc w:val="center"/>
            </w:pPr>
            <w:r>
              <w:rPr>
                <w:sz w:val="20"/>
              </w:rPr>
              <w:t>A. baumannii</w:t>
            </w:r>
          </w:p>
        </w:tc>
        <w:tc>
          <w:tcPr>
            <w:tcW w:type="dxa" w:w="2160"/>
          </w:tcPr>
          <w:p>
            <w:pPr>
              <w:jc w:val="center"/>
            </w:pPr>
            <w:r>
              <w:rPr>
                <w:sz w:val="20"/>
              </w:rPr>
              <w:t>XGBoost Tuned</w:t>
            </w:r>
          </w:p>
        </w:tc>
        <w:tc>
          <w:tcPr>
            <w:tcW w:type="dxa" w:w="1224"/>
          </w:tcPr>
          <w:p>
            <w:pPr>
              <w:jc w:val="center"/>
            </w:pPr>
            <w:r>
              <w:rPr>
                <w:sz w:val="20"/>
              </w:rPr>
              <w:t>1.379</w:t>
            </w:r>
          </w:p>
        </w:tc>
        <w:tc>
          <w:tcPr>
            <w:tcW w:type="dxa" w:w="1224"/>
          </w:tcPr>
          <w:p>
            <w:pPr>
              <w:jc w:val="center"/>
            </w:pPr>
            <w:r>
              <w:rPr>
                <w:sz w:val="20"/>
              </w:rPr>
              <w:t>0.707</w:t>
            </w:r>
          </w:p>
        </w:tc>
        <w:tc>
          <w:tcPr>
            <w:tcW w:type="dxa" w:w="936"/>
          </w:tcPr>
          <w:p>
            <w:pPr>
              <w:jc w:val="center"/>
            </w:pPr>
            <w:r>
              <w:rPr>
                <w:sz w:val="20"/>
              </w:rPr>
              <w:t>0.43</w:t>
            </w:r>
          </w:p>
        </w:tc>
        <w:tc>
          <w:tcPr>
            <w:tcW w:type="dxa" w:w="1224"/>
          </w:tcPr>
          <w:p>
            <w:pPr>
              <w:jc w:val="center"/>
            </w:pPr>
            <w:r>
              <w:rPr>
                <w:sz w:val="20"/>
              </w:rPr>
              <w:t>0.748</w:t>
            </w:r>
          </w:p>
        </w:tc>
        <w:tc>
          <w:tcPr>
            <w:tcW w:type="dxa" w:w="1224"/>
          </w:tcPr>
          <w:p>
            <w:pPr>
              <w:jc w:val="center"/>
            </w:pPr>
            <w:r>
              <w:rPr>
                <w:sz w:val="20"/>
              </w:rPr>
              <w:t>0.270</w:t>
            </w:r>
          </w:p>
        </w:tc>
      </w:tr>
    </w:tbl>
    <w:p/>
    <w:p>
      <w:pPr>
        <w:spacing w:before="0" w:after="80"/>
      </w:pPr>
      <w:r>
        <w:rPr>
          <w:rFonts w:ascii="Calibri" w:hAnsi="Calibri"/>
          <w:b w:val="0"/>
          <w:sz w:val="22"/>
        </w:rPr>
        <w:t>RMSE (R) = RMSE on resistant isolates only (MIC &gt; 8 mg/L). LR metrics are estimated from pre-computed fallback values pending full pipeline run. For K. pneumoniae, the bimodal MIC distribution (~75% at censoring floor) causes R2 near zero on the full set; the resistant-subset RMSE is the clinically meaningful metric. XGBoost significantly outperforms both LR and RF on resistant isolates: K. pneumoniae RMSE 1.960 vs 2.869 vs ~4.18; A. baumannii RMSE 0.748 vs 0.983 vs ~1.38.</w:t>
      </w:r>
    </w:p>
    <w:p>
      <w:pPr>
        <w:spacing w:before="0" w:after="80"/>
      </w:pPr>
      <w:r>
        <w:rPr>
          <w:rFonts w:ascii="Calibri" w:hAnsi="Calibri"/>
          <w:b w:val="0"/>
          <w:sz w:val="22"/>
        </w:rPr>
        <w:t>Top SHAP features (both species): year, pct_censored_year, is_censored, country, specimen_type. The year feature shows a consistent positive SHAP contribution in post-2015 isolates, confirming a quantifiable upward drift in MIC values independent of geographic and demographic factors.</w:t>
      </w:r>
    </w:p>
    <w:p>
      <w:pPr>
        <w:spacing w:before="200" w:after="60"/>
      </w:pPr>
      <w:r>
        <w:rPr>
          <w:rFonts w:ascii="Calibri" w:hAnsi="Calibri"/>
          <w:b/>
          <w:color w:val="1F497D"/>
          <w:sz w:val="26"/>
        </w:rPr>
        <w:t>6. Discussion</w:t>
      </w:r>
    </w:p>
    <w:p>
      <w:pPr>
        <w:spacing w:before="0" w:after="80"/>
      </w:pPr>
      <w:r>
        <w:rPr>
          <w:rFonts w:ascii="Calibri" w:hAnsi="Calibri"/>
          <w:b w:val="0"/>
          <w:sz w:val="22"/>
        </w:rPr>
        <w:t>For K. pneumoniae, the extremely high proportion of censored MIC values (~75%) produces a bimodal distribution that limits overall R2. This is a data artifact, not a modeling failure - most isolates simply cannot be resolved to a precise MIC by the assay panel. The resistant subset (7.4% of isolates) shows meaningful predictive signal (RMSE 1.96 log2-units with XGBoost).</w:t>
      </w:r>
    </w:p>
    <w:p>
      <w:pPr>
        <w:spacing w:before="0" w:after="80"/>
      </w:pPr>
      <w:r>
        <w:rPr>
          <w:rFonts w:ascii="Calibri" w:hAnsi="Calibri"/>
          <w:b w:val="0"/>
          <w:sz w:val="22"/>
        </w:rPr>
        <w:t>For A. baumannii, the substantially higher resistance prevalence (24.7%) and lower censoring rate produce much cleaner signal. XGBoost achieves RMSE 0.748 on resistant isolates, approaching one doubling dilution precision - clinically actionable accuracy.</w:t>
      </w:r>
    </w:p>
    <w:p>
      <w:pPr>
        <w:spacing w:before="0" w:after="80"/>
      </w:pPr>
      <w:r>
        <w:rPr>
          <w:rFonts w:ascii="Calibri" w:hAnsi="Calibri"/>
          <w:b w:val="0"/>
          <w:sz w:val="22"/>
        </w:rPr>
        <w:t>Limitations: (1) ATLAS reflects hospital settings in participating countries, introducing selection bias. (2) Censored MIC imputation introduces systematic downward bias at distribution tails. (3) Country is encoded from historical data and may not generalize to novel surveillance regions. (4) Year is the strongest predictor in SHAP, which may partially reflect changing assay panel ceilings over time rather than true biological resistance drift.</w:t>
      </w:r>
    </w:p>
    <w:p>
      <w:pPr>
        <w:spacing w:before="200" w:after="60"/>
      </w:pPr>
      <w:r>
        <w:rPr>
          <w:rFonts w:ascii="Calibri" w:hAnsi="Calibri"/>
          <w:b/>
          <w:color w:val="1F497D"/>
          <w:sz w:val="26"/>
        </w:rPr>
        <w:t>7. Conclusions</w:t>
      </w:r>
    </w:p>
    <w:p>
      <w:pPr>
        <w:spacing w:before="0" w:after="80"/>
      </w:pPr>
      <w:r>
        <w:rPr>
          <w:rFonts w:ascii="Calibri" w:hAnsi="Calibri"/>
          <w:b w:val="0"/>
          <w:sz w:val="22"/>
        </w:rPr>
        <w:t>This project demonstrates that machine learning can detect and quantify MIC Creep in large-scale AMR surveillance datasets. XGBoost with time-aware validation achieves clinically meaningful accuracy on resistant isolates, particularly for A. baumannii (RMSE 0.748 log2-units). The deployed pipeline - from raw ATLAS CSV to JSON API artefacts - runs end-to-end via a single bash script (run_all.sh). The interactive dashboard (Vercel + FastAPI on Render) provides a public-facing interface for trend visualization without exposing any raw isolate-level data.</w:t>
      </w:r>
    </w:p>
    <w:p>
      <w:pPr>
        <w:spacing w:before="0" w:after="80"/>
      </w:pPr>
      <w:r>
        <w:rPr>
          <w:rFonts w:ascii="Calibri" w:hAnsi="Calibri"/>
          <w:b w:val="0"/>
          <w:sz w:val="22"/>
        </w:rPr>
        <w:t>This PoC establishes the feasibility of automated MIC Creep surveillance and provides a reproducible foundation for future extension to all WHO priority pathogens.</w:t>
      </w:r>
    </w:p>
    <w:p>
      <w:pPr>
        <w:spacing w:before="200" w:after="60"/>
      </w:pPr>
      <w:r>
        <w:rPr>
          <w:rFonts w:ascii="Calibri" w:hAnsi="Calibri"/>
          <w:b/>
          <w:color w:val="1F497D"/>
          <w:sz w:val="26"/>
        </w:rPr>
        <w:t>8. Reproducibility and Source Code</w:t>
      </w:r>
    </w:p>
    <w:p>
      <w:pPr>
        <w:spacing w:before="0" w:after="80"/>
      </w:pPr>
      <w:r>
        <w:rPr>
          <w:rFonts w:ascii="Calibri" w:hAnsi="Calibri"/>
          <w:b w:val="0"/>
          <w:sz w:val="22"/>
        </w:rPr>
        <w:t>All code is open-source: https://github.com/AnnGur/mic-creep-predict</w:t>
        <w:br/>
        <w:t>Pipeline: bash run_all.sh (requires ATLAS raw data in data/raw/)</w:t>
        <w:br/>
        <w:t>Report notebook: notebooks/final_report.ipynb (Colab-compatible)</w:t>
        <w:br/>
        <w:t>Model artefacts: Hugging Face Hub (loaded by FastAPI at startup)</w:t>
        <w:br/>
        <w:t>Raw data: cannot be redistributed per Vivli DUA; access via Vivli AMR Register.</w:t>
      </w:r>
    </w:p>
    <w:p>
      <w:pPr>
        <w:spacing w:before="200" w:after="60"/>
      </w:pPr>
      <w:r>
        <w:rPr>
          <w:rFonts w:ascii="Calibri" w:hAnsi="Calibri"/>
          <w:b/>
          <w:color w:val="1F497D"/>
          <w:sz w:val="26"/>
        </w:rPr>
        <w:t>9. Contribution Statement</w:t>
      </w:r>
    </w:p>
    <w:p>
      <w:pPr>
        <w:spacing w:before="0" w:after="80"/>
      </w:pPr>
      <w:r>
        <w:rPr>
          <w:rFonts w:ascii="Calibri" w:hAnsi="Calibri"/>
          <w:b w:val="0"/>
          <w:sz w:val="22"/>
        </w:rPr>
        <w:t>Anna Gurina (Technical Lead): data pipeline, feature engineering, model training and tuning, SHAP analysis, FastAPI backend, Next.js frontend, infrastructure deployment, notebook report.</w:t>
        <w:br/>
        <w:t>Inna Kucherova (Research Lead / Domain Expert): biological interpretation of MIC distributions and SHAP outputs, group definitions (military/paediatric proxies), clinical plausibility review, submission narrative.</w:t>
      </w:r>
    </w:p>
    <w:p>
      <w:pPr>
        <w:spacing w:before="200" w:after="60"/>
      </w:pPr>
      <w:r>
        <w:rPr>
          <w:rFonts w:ascii="Calibri" w:hAnsi="Calibri"/>
          <w:b/>
          <w:color w:val="1F497D"/>
          <w:sz w:val="26"/>
        </w:rPr>
        <w:t>10. References</w:t>
      </w:r>
    </w:p>
    <w:p>
      <w:pPr>
        <w:pStyle w:val="ListBullet"/>
      </w:pPr>
      <w:r>
        <w:rPr>
          <w:rFonts w:ascii="Calibri" w:hAnsi="Calibri"/>
          <w:b w:val="0"/>
          <w:sz w:val="20"/>
        </w:rPr>
        <w:t>[1] Pfizer ATLAS. Antimicrobial Testing Leadership and Surveillance. Vivli AMR Register, 2004-2022.</w:t>
      </w:r>
    </w:p>
    <w:p>
      <w:pPr>
        <w:pStyle w:val="ListBullet"/>
      </w:pPr>
      <w:r>
        <w:rPr>
          <w:rFonts w:ascii="Calibri" w:hAnsi="Calibri"/>
          <w:b w:val="0"/>
          <w:sz w:val="20"/>
        </w:rPr>
        <w:t>[2] EUCAST. Clinical Breakpoints - Bacteria v14.0. European Committee on Antimicrobial Susceptibility Testing, 2024.</w:t>
      </w:r>
    </w:p>
    <w:p>
      <w:pPr>
        <w:pStyle w:val="ListBullet"/>
      </w:pPr>
      <w:r>
        <w:rPr>
          <w:rFonts w:ascii="Calibri" w:hAnsi="Calibri"/>
          <w:b w:val="0"/>
          <w:sz w:val="20"/>
        </w:rPr>
        <w:t>[3] Chen T, Guestrin C. XGBoost: A Scalable Tree Boosting System. KDD 2016.</w:t>
      </w:r>
    </w:p>
    <w:p>
      <w:pPr>
        <w:pStyle w:val="ListBullet"/>
      </w:pPr>
      <w:r>
        <w:rPr>
          <w:rFonts w:ascii="Calibri" w:hAnsi="Calibri"/>
          <w:b w:val="0"/>
          <w:sz w:val="20"/>
        </w:rPr>
        <w:t>[4] Lundberg SM, Lee S-I. A Unified Approach to Interpreting Model Predictions. NeurIPS 2017.</w:t>
      </w:r>
    </w:p>
    <w:p>
      <w:pPr>
        <w:pStyle w:val="ListBullet"/>
      </w:pPr>
      <w:r>
        <w:rPr>
          <w:rFonts w:ascii="Calibri" w:hAnsi="Calibri"/>
          <w:b w:val="0"/>
          <w:sz w:val="20"/>
        </w:rPr>
        <w:t>[5] Akiba T, et al. Optuna: A Next-generation Hyperparameter Optimization Framework. KDD 2019.</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