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32"/>
        </w:rPr>
        <w:t>MIC Creep Prediction Using Machine Learning</w:t>
        <w:br/>
        <w:t>Vivli AMR Surveillance Data Challenge 2026</w:t>
      </w:r>
    </w:p>
    <w:p>
      <w:pPr>
        <w:spacing w:after="160"/>
        <w:jc w:val="center"/>
      </w:pPr>
      <w:r>
        <w:rPr>
          <w:rFonts w:ascii="Calibri" w:hAnsi="Calibri"/>
          <w:b w:val="0"/>
          <w:sz w:val="22"/>
        </w:rPr>
        <w:t>Anna Gurina (Technical Lead) | Inna Gurina (Domain Expert)</w:t>
        <w:br/>
        <w:t>KSE Introduction to Machine Learning — Group Project</w:t>
      </w:r>
    </w:p>
    <w:p>
      <w:pPr>
        <w:spacing w:before="200" w:after="60"/>
      </w:pPr>
      <w:r>
        <w:rPr>
          <w:rFonts w:ascii="Calibri" w:hAnsi="Calibri"/>
          <w:b/>
          <w:color w:val="1F497D"/>
          <w:sz w:val="26"/>
        </w:rPr>
        <w:t>1. Introduction</w:t>
      </w:r>
    </w:p>
    <w:p>
      <w:pPr>
        <w:spacing w:before="0" w:after="80"/>
      </w:pPr>
      <w:r>
        <w:rPr>
          <w:rFonts w:ascii="Calibri" w:hAnsi="Calibri"/>
          <w:b w:val="0"/>
          <w:sz w:val="22"/>
        </w:rPr>
        <w:t>Antibiotic resistance represents one of the most urgent global health threats. The gradual upward drift of Minimum Inhibitory Concentration (MIC) values - termed 'MIC Creep' - is an early warning signal that precedes full clinical resistance. Because MIC values remain technically 'susceptible' while drifting upward, this phenomenon escapes detection by standard clinical breakpoint reporting. This project applies machine learning to quantify and predict MIC Creep for Klebsiella pneumoniae and Acinetobacter baumannii against Meropenem, a last-resort carbapenem antibiotic, using isolate-level surveillance data from the Vivli AMR Register (ATLAS dataset, Pfizer).</w:t>
      </w:r>
    </w:p>
    <w:p>
      <w:pPr>
        <w:spacing w:before="200" w:after="60"/>
      </w:pPr>
      <w:r>
        <w:rPr>
          <w:rFonts w:ascii="Calibri" w:hAnsi="Calibri"/>
          <w:b/>
          <w:color w:val="1F497D"/>
          <w:sz w:val="26"/>
        </w:rPr>
        <w:t>2. Problem Statement</w:t>
      </w:r>
    </w:p>
    <w:p>
      <w:pPr>
        <w:spacing w:before="0" w:after="80"/>
      </w:pPr>
      <w:r>
        <w:rPr>
          <w:rFonts w:ascii="Calibri" w:hAnsi="Calibri"/>
          <w:b w:val="0"/>
          <w:sz w:val="22"/>
        </w:rPr>
        <w:t>We frame MIC Creep as a regression problem: predict the log2-transformed MIC value for each bacterial isolate given its year, geographic origin, host demographics, and specimen source. The primary clinical question is: are MIC values systematically increasing over time, even within the susceptible range? We evaluate two organisms independently because they occupy distinct ecological niches: K. pneumoniae is predominantly a community/hospital-acquired pathogen, while A. baumannii is almost exclusively nosocomial and frequently carbapenem-resistant at baseline (pan-resistant outbreaks in ICUs).</w:t>
      </w:r>
    </w:p>
    <w:p>
      <w:pPr>
        <w:spacing w:before="200" w:after="60"/>
      </w:pPr>
      <w:r>
        <w:rPr>
          <w:rFonts w:ascii="Calibri" w:hAnsi="Calibri"/>
          <w:b/>
          <w:color w:val="1F497D"/>
          <w:sz w:val="26"/>
        </w:rPr>
        <w:t>3. Data Sources and Description</w:t>
      </w:r>
    </w:p>
    <w:p>
      <w:pPr>
        <w:spacing w:before="0" w:after="80"/>
      </w:pPr>
      <w:r>
        <w:rPr>
          <w:rFonts w:ascii="Calibri" w:hAnsi="Calibri"/>
          <w:b w:val="0"/>
          <w:sz w:val="22"/>
        </w:rPr>
        <w:t>Source: ATLAS (Antimicrobial Testing Leadership and Surveillance, Pfizer), accessed via the Vivli AMR Register under a Data Use Agreement. The dataset spans 2004-2022 across 100+ countries. Raw data are stored locally and never committed to version control per Vivli data stewardship terms.</w:t>
      </w:r>
    </w:p>
    <w:tbl>
      <w:tblPr>
        <w:tblStyle w:val="TableGrid"/>
        <w:tblW w:type="auto" w:w="0"/>
        <w:tblLook w:firstColumn="1" w:firstRow="1" w:lastColumn="0" w:lastRow="0" w:noHBand="0" w:noVBand="1" w:val="04A0"/>
      </w:tblPr>
      <w:tblGrid>
        <w:gridCol w:w="3120"/>
        <w:gridCol w:w="3120"/>
        <w:gridCol w:w="3120"/>
      </w:tblGrid>
      <w:tr>
        <w:tc>
          <w:tcPr>
            <w:tcW w:type="dxa" w:w="2880"/>
          </w:tcPr>
          <w:p>
            <w:pPr>
              <w:jc w:val="center"/>
            </w:pPr>
            <w:r>
              <w:rPr>
                <w:b/>
                <w:sz w:val="20"/>
              </w:rPr>
              <w:t>Parameter</w:t>
            </w:r>
          </w:p>
        </w:tc>
        <w:tc>
          <w:tcPr>
            <w:tcW w:type="dxa" w:w="2880"/>
          </w:tcPr>
          <w:p>
            <w:pPr>
              <w:jc w:val="center"/>
            </w:pPr>
            <w:r>
              <w:rPr>
                <w:b/>
                <w:sz w:val="20"/>
              </w:rPr>
              <w:t>K. pneumoniae</w:t>
            </w:r>
          </w:p>
        </w:tc>
        <w:tc>
          <w:tcPr>
            <w:tcW w:type="dxa" w:w="2880"/>
          </w:tcPr>
          <w:p>
            <w:pPr>
              <w:jc w:val="center"/>
            </w:pPr>
            <w:r>
              <w:rPr>
                <w:b/>
                <w:sz w:val="20"/>
              </w:rPr>
              <w:t>A. baumannii</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pPr>
              <w:jc w:val="center"/>
            </w:pPr>
            <w:r>
              <w:rPr>
                <w:sz w:val="20"/>
              </w:rPr>
              <w:t>Total isolates</w:t>
            </w:r>
          </w:p>
        </w:tc>
        <w:tc>
          <w:tcPr>
            <w:tcW w:type="dxa" w:w="2880"/>
          </w:tcPr>
          <w:p>
            <w:pPr>
              <w:jc w:val="center"/>
            </w:pPr>
            <w:r>
              <w:rPr>
                <w:sz w:val="20"/>
              </w:rPr>
              <w:t>89,572</w:t>
            </w:r>
          </w:p>
        </w:tc>
        <w:tc>
          <w:tcPr>
            <w:tcW w:type="dxa" w:w="2880"/>
          </w:tcPr>
          <w:p>
            <w:pPr>
              <w:jc w:val="center"/>
            </w:pPr>
            <w:r>
              <w:rPr>
                <w:sz w:val="20"/>
              </w:rPr>
              <w:t>37,540</w:t>
            </w:r>
          </w:p>
        </w:tc>
      </w:tr>
      <w:tr>
        <w:tc>
          <w:tcPr>
            <w:tcW w:type="dxa" w:w="2880"/>
          </w:tcPr>
          <w:p>
            <w:pPr>
              <w:jc w:val="center"/>
            </w:pPr>
            <w:r>
              <w:rPr>
                <w:sz w:val="20"/>
              </w:rPr>
              <w:t>Countries</w:t>
            </w:r>
          </w:p>
        </w:tc>
        <w:tc>
          <w:tcPr>
            <w:tcW w:type="dxa" w:w="2880"/>
          </w:tcPr>
          <w:p>
            <w:pPr>
              <w:jc w:val="center"/>
            </w:pPr>
            <w:r>
              <w:rPr>
                <w:sz w:val="20"/>
              </w:rPr>
              <w:t>81</w:t>
            </w:r>
          </w:p>
        </w:tc>
        <w:tc>
          <w:tcPr>
            <w:tcW w:type="dxa" w:w="2880"/>
          </w:tcPr>
          <w:p>
            <w:pPr>
              <w:jc w:val="center"/>
            </w:pPr>
            <w:r>
              <w:rPr>
                <w:sz w:val="20"/>
              </w:rPr>
              <w:t>79</w:t>
            </w:r>
          </w:p>
        </w:tc>
      </w:tr>
      <w:tr>
        <w:tc>
          <w:tcPr>
            <w:tcW w:type="dxa" w:w="2880"/>
          </w:tcPr>
          <w:p>
            <w:pPr>
              <w:jc w:val="center"/>
            </w:pPr>
            <w:r>
              <w:rPr>
                <w:sz w:val="20"/>
              </w:rPr>
              <w:t>Train period</w:t>
            </w:r>
          </w:p>
        </w:tc>
        <w:tc>
          <w:tcPr>
            <w:tcW w:type="dxa" w:w="2880"/>
          </w:tcPr>
          <w:p>
            <w:pPr>
              <w:jc w:val="center"/>
            </w:pPr>
            <w:r>
              <w:rPr>
                <w:sz w:val="20"/>
              </w:rPr>
              <w:t>2004-2018 (n=61,780)</w:t>
            </w:r>
          </w:p>
        </w:tc>
        <w:tc>
          <w:tcPr>
            <w:tcW w:type="dxa" w:w="2880"/>
          </w:tcPr>
          <w:p>
            <w:pPr>
              <w:jc w:val="center"/>
            </w:pPr>
            <w:r>
              <w:rPr>
                <w:sz w:val="20"/>
              </w:rPr>
              <w:t>2004-2018 (n=23,990)</w:t>
            </w:r>
          </w:p>
        </w:tc>
      </w:tr>
      <w:tr>
        <w:tc>
          <w:tcPr>
            <w:tcW w:type="dxa" w:w="2880"/>
          </w:tcPr>
          <w:p>
            <w:pPr>
              <w:jc w:val="center"/>
            </w:pPr>
            <w:r>
              <w:rPr>
                <w:sz w:val="20"/>
              </w:rPr>
              <w:t>Test period</w:t>
            </w:r>
          </w:p>
        </w:tc>
        <w:tc>
          <w:tcPr>
            <w:tcW w:type="dxa" w:w="2880"/>
          </w:tcPr>
          <w:p>
            <w:pPr>
              <w:jc w:val="center"/>
            </w:pPr>
            <w:r>
              <w:rPr>
                <w:sz w:val="20"/>
              </w:rPr>
              <w:t>2019-2022 (n=27,792)</w:t>
            </w:r>
          </w:p>
        </w:tc>
        <w:tc>
          <w:tcPr>
            <w:tcW w:type="dxa" w:w="2880"/>
          </w:tcPr>
          <w:p>
            <w:pPr>
              <w:jc w:val="center"/>
            </w:pPr>
            <w:r>
              <w:rPr>
                <w:sz w:val="20"/>
              </w:rPr>
              <w:t>2019-2022 (n=13,550)</w:t>
            </w:r>
          </w:p>
        </w:tc>
      </w:tr>
      <w:tr>
        <w:tc>
          <w:tcPr>
            <w:tcW w:type="dxa" w:w="2880"/>
          </w:tcPr>
          <w:p>
            <w:pPr>
              <w:jc w:val="center"/>
            </w:pPr>
            <w:r>
              <w:rPr>
                <w:sz w:val="20"/>
              </w:rPr>
              <w:t>% censored MIC</w:t>
            </w:r>
          </w:p>
        </w:tc>
        <w:tc>
          <w:tcPr>
            <w:tcW w:type="dxa" w:w="2880"/>
          </w:tcPr>
          <w:p>
            <w:pPr>
              <w:jc w:val="center"/>
            </w:pPr>
            <w:r>
              <w:rPr>
                <w:sz w:val="20"/>
              </w:rPr>
              <w:t>~75%</w:t>
            </w:r>
          </w:p>
        </w:tc>
        <w:tc>
          <w:tcPr>
            <w:tcW w:type="dxa" w:w="2880"/>
          </w:tcPr>
          <w:p>
            <w:pPr>
              <w:jc w:val="center"/>
            </w:pPr>
            <w:r>
              <w:rPr>
                <w:sz w:val="20"/>
              </w:rPr>
              <w:t>~10%</w:t>
            </w:r>
          </w:p>
        </w:tc>
      </w:tr>
      <w:tr>
        <w:tc>
          <w:tcPr>
            <w:tcW w:type="dxa" w:w="2880"/>
          </w:tcPr>
          <w:p>
            <w:pPr>
              <w:jc w:val="center"/>
            </w:pPr>
            <w:r>
              <w:rPr>
                <w:sz w:val="20"/>
              </w:rPr>
              <w:t>% resistant (MIC&gt;8)</w:t>
            </w:r>
          </w:p>
        </w:tc>
        <w:tc>
          <w:tcPr>
            <w:tcW w:type="dxa" w:w="2880"/>
          </w:tcPr>
          <w:p>
            <w:pPr>
              <w:jc w:val="center"/>
            </w:pPr>
            <w:r>
              <w:rPr>
                <w:sz w:val="20"/>
              </w:rPr>
              <w:t>~7.4%</w:t>
            </w:r>
          </w:p>
        </w:tc>
        <w:tc>
          <w:tcPr>
            <w:tcW w:type="dxa" w:w="2880"/>
          </w:tcPr>
          <w:p>
            <w:pPr>
              <w:jc w:val="center"/>
            </w:pPr>
            <w:r>
              <w:rPr>
                <w:sz w:val="20"/>
              </w:rPr>
              <w:t>~24.7%</w:t>
            </w:r>
          </w:p>
        </w:tc>
      </w:tr>
    </w:tbl>
    <w:p/>
    <w:p>
      <w:pPr>
        <w:spacing w:before="0" w:after="80"/>
      </w:pPr>
      <w:r>
        <w:rPr>
          <w:rFonts w:ascii="Calibri" w:hAnsi="Calibri"/>
          <w:b w:val="0"/>
          <w:sz w:val="22"/>
        </w:rPr>
        <w:t>Censored MIC entries (e.g., &gt;8, &lt;=0.5) were resolved using boundary doubling dilution imputation before log2-transformation. Merck/SMART datasets were excluded per challenge rules.</w:t>
      </w:r>
    </w:p>
    <w:p>
      <w:pPr>
        <w:spacing w:before="200" w:after="60"/>
      </w:pPr>
      <w:r>
        <w:rPr>
          <w:rFonts w:ascii="Calibri" w:hAnsi="Calibri"/>
          <w:b/>
          <w:color w:val="1F497D"/>
          <w:sz w:val="26"/>
        </w:rPr>
        <w:t>4. Methodology</w:t>
      </w:r>
    </w:p>
    <w:p>
      <w:pPr>
        <w:spacing w:before="120" w:after="60"/>
      </w:pPr>
      <w:r>
        <w:rPr>
          <w:rFonts w:ascii="Calibri" w:hAnsi="Calibri"/>
          <w:b/>
          <w:color w:val="000000"/>
          <w:sz w:val="22"/>
        </w:rPr>
        <w:t>4.1 Feature Engineering</w:t>
      </w:r>
    </w:p>
    <w:p>
      <w:pPr>
        <w:spacing w:before="0" w:after="80"/>
      </w:pPr>
      <w:r>
        <w:rPr>
          <w:rFonts w:ascii="Calibri" w:hAnsi="Calibri"/>
          <w:b w:val="0"/>
          <w:sz w:val="22"/>
        </w:rPr>
        <w:t>Features: year (ordinal), country (one-hot encoded, top-N + 'Other'), age_group (paediatric/adult/elderly), sex (binary), specimen_type (wound/blood/urine/respiratory/other), is_censored (data artifact flag), pct_censored_year (rolling censoring rate per year). The target variable is log2(MIC_numeric).</w:t>
      </w:r>
    </w:p>
    <w:p>
      <w:pPr>
        <w:spacing w:before="120" w:after="60"/>
      </w:pPr>
      <w:r>
        <w:rPr>
          <w:rFonts w:ascii="Calibri" w:hAnsi="Calibri"/>
          <w:b/>
          <w:color w:val="000000"/>
          <w:sz w:val="22"/>
        </w:rPr>
        <w:t>4.2 Time-Aware Train/Test Split</w:t>
      </w:r>
    </w:p>
    <w:p>
      <w:pPr>
        <w:spacing w:before="0" w:after="80"/>
      </w:pPr>
      <w:r>
        <w:rPr>
          <w:rFonts w:ascii="Calibri" w:hAnsi="Calibri"/>
          <w:b w:val="0"/>
          <w:sz w:val="22"/>
        </w:rPr>
        <w:t>Data is split temporally: 2004-2018 for training, 2019-2022 for testing. Random shuffling is explicitly disabled to prevent future data leakage. This split approximates a real-world deployment scenario where the model is trained on historical data and evaluated on unseen future isolates.</w:t>
      </w:r>
    </w:p>
    <w:p>
      <w:pPr>
        <w:spacing w:before="120" w:after="60"/>
      </w:pPr>
      <w:r>
        <w:rPr>
          <w:rFonts w:ascii="Calibri" w:hAnsi="Calibri"/>
          <w:b/>
          <w:color w:val="000000"/>
          <w:sz w:val="22"/>
        </w:rPr>
        <w:t>4.3 Models</w:t>
      </w:r>
    </w:p>
    <w:p>
      <w:pPr>
        <w:spacing w:before="0" w:after="80"/>
      </w:pPr>
      <w:r>
        <w:rPr>
          <w:rFonts w:ascii="Calibri" w:hAnsi="Calibri"/>
          <w:b w:val="0"/>
          <w:sz w:val="22"/>
        </w:rPr>
        <w:t>Random Forest (200 trees, sklearn defaults) serves as the interpretable baseline. XGBoost Regressor with Optuna hyperparameter tuning (100 trials, 5-fold CV) is the primary model. Both models are evaluated on: (a) all test isolates, and (b) the clinically critical resistant subset (MIC &gt; 8 mg/L, EUCAST breakpoint).</w:t>
      </w:r>
    </w:p>
    <w:p>
      <w:pPr>
        <w:spacing w:before="120" w:after="60"/>
      </w:pPr>
      <w:r>
        <w:rPr>
          <w:rFonts w:ascii="Calibri" w:hAnsi="Calibri"/>
          <w:b/>
          <w:color w:val="000000"/>
          <w:sz w:val="22"/>
        </w:rPr>
        <w:t>4.4 Explainability</w:t>
      </w:r>
    </w:p>
    <w:p>
      <w:pPr>
        <w:spacing w:before="0" w:after="80"/>
      </w:pPr>
      <w:r>
        <w:rPr>
          <w:rFonts w:ascii="Calibri" w:hAnsi="Calibri"/>
          <w:b w:val="0"/>
          <w:sz w:val="22"/>
        </w:rPr>
        <w:t>SHAP (SHapley Additive exPlanations) values are computed for both models to explain feature contributions to individual predictions. Beeswarm plots visualize the direction and magnitude of each feature's influence. Outputs were validated for biological plausibility by the domain expert.</w:t>
      </w:r>
    </w:p>
    <w:p>
      <w:pPr>
        <w:spacing w:before="200" w:after="60"/>
      </w:pPr>
      <w:r>
        <w:rPr>
          <w:rFonts w:ascii="Calibri" w:hAnsi="Calibri"/>
          <w:b/>
          <w:color w:val="1F497D"/>
          <w:sz w:val="26"/>
        </w:rPr>
        <w:t>5. Results</w:t>
      </w:r>
    </w:p>
    <w:p>
      <w:pPr>
        <w:spacing w:before="0" w:after="80"/>
      </w:pPr>
      <w:r>
        <w:rPr>
          <w:rFonts w:ascii="Calibri" w:hAnsi="Calibri"/>
          <w:b w:val="0"/>
          <w:sz w:val="22"/>
        </w:rPr>
        <w:t>Table 2: Model Performance on Test Set (2019-2022)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160"/>
          </w:tcPr>
          <w:p>
            <w:pPr>
              <w:jc w:val="center"/>
            </w:pPr>
            <w:r>
              <w:rPr>
                <w:b/>
                <w:sz w:val="20"/>
              </w:rPr>
              <w:t>Species</w:t>
            </w:r>
          </w:p>
        </w:tc>
        <w:tc>
          <w:tcPr>
            <w:tcW w:type="dxa" w:w="2160"/>
          </w:tcPr>
          <w:p>
            <w:pPr>
              <w:jc w:val="center"/>
            </w:pPr>
            <w:r>
              <w:rPr>
                <w:b/>
                <w:sz w:val="20"/>
              </w:rPr>
              <w:t>Model</w:t>
            </w:r>
          </w:p>
        </w:tc>
        <w:tc>
          <w:tcPr>
            <w:tcW w:type="dxa" w:w="1296"/>
          </w:tcPr>
          <w:p>
            <w:pPr>
              <w:jc w:val="center"/>
            </w:pPr>
            <w:r>
              <w:rPr>
                <w:b/>
                <w:sz w:val="20"/>
              </w:rPr>
              <w:t>RMSE (all)</w:t>
            </w:r>
          </w:p>
        </w:tc>
        <w:tc>
          <w:tcPr>
            <w:tcW w:type="dxa" w:w="1296"/>
          </w:tcPr>
          <w:p>
            <w:pPr>
              <w:jc w:val="center"/>
            </w:pPr>
            <w:r>
              <w:rPr>
                <w:b/>
                <w:sz w:val="20"/>
              </w:rPr>
              <w:t>MAE (all)</w:t>
            </w:r>
          </w:p>
        </w:tc>
        <w:tc>
          <w:tcPr>
            <w:tcW w:type="dxa" w:w="1008"/>
          </w:tcPr>
          <w:p>
            <w:pPr>
              <w:jc w:val="center"/>
            </w:pPr>
            <w:r>
              <w:rPr>
                <w:b/>
                <w:sz w:val="20"/>
              </w:rPr>
              <w:t>R2 (all)</w:t>
            </w:r>
          </w:p>
        </w:tc>
        <w:tc>
          <w:tcPr>
            <w:tcW w:type="dxa" w:w="1296"/>
          </w:tcPr>
          <w:p>
            <w:pPr>
              <w:jc w:val="center"/>
            </w:pPr>
            <w:r>
              <w:rPr>
                <w:b/>
                <w:sz w:val="20"/>
              </w:rPr>
              <w:t>RMSE (R)</w:t>
            </w:r>
          </w:p>
        </w:tc>
        <w:tc>
          <w:tcPr>
            <w:tcW w:type="dxa" w:w="1296"/>
          </w:tcPr>
          <w:p>
            <w:pPr>
              <w:jc w:val="center"/>
            </w:pPr>
            <w:r>
              <w:rPr>
                <w:b/>
                <w:sz w:val="20"/>
              </w:rPr>
              <w:t>MAE (R)</w:t>
            </w:r>
          </w:p>
        </w:tc>
      </w:tr>
      <w:tr>
        <w:tc>
          <w:tcPr>
            <w:tcW w:type="dxa" w:w="2160"/>
          </w:tcPr>
          <w:p/>
        </w:tc>
        <w:tc>
          <w:tcPr>
            <w:tcW w:type="dxa" w:w="2160"/>
          </w:tcPr>
          <w:p/>
        </w:tc>
        <w:tc>
          <w:tcPr>
            <w:tcW w:type="dxa" w:w="1296"/>
          </w:tcPr>
          <w:p/>
        </w:tc>
        <w:tc>
          <w:tcPr>
            <w:tcW w:type="dxa" w:w="1296"/>
          </w:tcPr>
          <w:p/>
        </w:tc>
        <w:tc>
          <w:tcPr>
            <w:tcW w:type="dxa" w:w="1008"/>
          </w:tcPr>
          <w:p/>
        </w:tc>
        <w:tc>
          <w:tcPr>
            <w:tcW w:type="dxa" w:w="1296"/>
          </w:tcPr>
          <w:p/>
        </w:tc>
        <w:tc>
          <w:tcPr>
            <w:tcW w:type="dxa" w:w="1296"/>
          </w:tcPr>
          <w:p/>
        </w:tc>
      </w:tr>
      <w:tr>
        <w:tc>
          <w:tcPr>
            <w:tcW w:type="dxa" w:w="2160"/>
          </w:tcPr>
          <w:p/>
        </w:tc>
        <w:tc>
          <w:tcPr>
            <w:tcW w:type="dxa" w:w="2160"/>
          </w:tcPr>
          <w:p/>
        </w:tc>
        <w:tc>
          <w:tcPr>
            <w:tcW w:type="dxa" w:w="1296"/>
          </w:tcPr>
          <w:p/>
        </w:tc>
        <w:tc>
          <w:tcPr>
            <w:tcW w:type="dxa" w:w="1296"/>
          </w:tcPr>
          <w:p/>
        </w:tc>
        <w:tc>
          <w:tcPr>
            <w:tcW w:type="dxa" w:w="1008"/>
          </w:tcPr>
          <w:p/>
        </w:tc>
        <w:tc>
          <w:tcPr>
            <w:tcW w:type="dxa" w:w="1296"/>
          </w:tcPr>
          <w:p/>
        </w:tc>
        <w:tc>
          <w:tcPr>
            <w:tcW w:type="dxa" w:w="1296"/>
          </w:tcPr>
          <w:p/>
        </w:tc>
      </w:tr>
      <w:tr>
        <w:tc>
          <w:tcPr>
            <w:tcW w:type="dxa" w:w="2160"/>
          </w:tcPr>
          <w:p/>
        </w:tc>
        <w:tc>
          <w:tcPr>
            <w:tcW w:type="dxa" w:w="2160"/>
          </w:tcPr>
          <w:p/>
        </w:tc>
        <w:tc>
          <w:tcPr>
            <w:tcW w:type="dxa" w:w="1296"/>
          </w:tcPr>
          <w:p/>
        </w:tc>
        <w:tc>
          <w:tcPr>
            <w:tcW w:type="dxa" w:w="1296"/>
          </w:tcPr>
          <w:p/>
        </w:tc>
        <w:tc>
          <w:tcPr>
            <w:tcW w:type="dxa" w:w="1008"/>
          </w:tcPr>
          <w:p/>
        </w:tc>
        <w:tc>
          <w:tcPr>
            <w:tcW w:type="dxa" w:w="1296"/>
          </w:tcPr>
          <w:p/>
        </w:tc>
        <w:tc>
          <w:tcPr>
            <w:tcW w:type="dxa" w:w="1296"/>
          </w:tcPr>
          <w:p/>
        </w:tc>
      </w:tr>
      <w:tr>
        <w:tc>
          <w:tcPr>
            <w:tcW w:type="dxa" w:w="2160"/>
          </w:tcPr>
          <w:p/>
        </w:tc>
        <w:tc>
          <w:tcPr>
            <w:tcW w:type="dxa" w:w="2160"/>
          </w:tcPr>
          <w:p/>
        </w:tc>
        <w:tc>
          <w:tcPr>
            <w:tcW w:type="dxa" w:w="1296"/>
          </w:tcPr>
          <w:p/>
        </w:tc>
        <w:tc>
          <w:tcPr>
            <w:tcW w:type="dxa" w:w="1296"/>
          </w:tcPr>
          <w:p/>
        </w:tc>
        <w:tc>
          <w:tcPr>
            <w:tcW w:type="dxa" w:w="1008"/>
          </w:tcPr>
          <w:p/>
        </w:tc>
        <w:tc>
          <w:tcPr>
            <w:tcW w:type="dxa" w:w="1296"/>
          </w:tcPr>
          <w:p/>
        </w:tc>
        <w:tc>
          <w:tcPr>
            <w:tcW w:type="dxa" w:w="1296"/>
          </w:tcPr>
          <w:p/>
        </w:tc>
      </w:tr>
      <w:tr>
        <w:tc>
          <w:tcPr>
            <w:tcW w:type="dxa" w:w="2160"/>
          </w:tcPr>
          <w:p>
            <w:pPr>
              <w:jc w:val="center"/>
            </w:pPr>
            <w:r>
              <w:rPr>
                <w:sz w:val="20"/>
              </w:rPr>
              <w:t>K. pneumoniae</w:t>
            </w:r>
          </w:p>
        </w:tc>
        <w:tc>
          <w:tcPr>
            <w:tcW w:type="dxa" w:w="2160"/>
          </w:tcPr>
          <w:p>
            <w:pPr>
              <w:jc w:val="center"/>
            </w:pPr>
            <w:r>
              <w:rPr>
                <w:sz w:val="20"/>
              </w:rPr>
              <w:t>Random Forest</w:t>
            </w:r>
          </w:p>
        </w:tc>
        <w:tc>
          <w:tcPr>
            <w:tcW w:type="dxa" w:w="1296"/>
          </w:tcPr>
          <w:p>
            <w:pPr>
              <w:jc w:val="center"/>
            </w:pPr>
            <w:r>
              <w:rPr>
                <w:sz w:val="20"/>
              </w:rPr>
              <w:t>1.558</w:t>
            </w:r>
          </w:p>
        </w:tc>
        <w:tc>
          <w:tcPr>
            <w:tcW w:type="dxa" w:w="1296"/>
          </w:tcPr>
          <w:p>
            <w:pPr>
              <w:jc w:val="center"/>
            </w:pPr>
            <w:r>
              <w:rPr>
                <w:sz w:val="20"/>
              </w:rPr>
              <w:t>1.109</w:t>
            </w:r>
          </w:p>
        </w:tc>
        <w:tc>
          <w:tcPr>
            <w:tcW w:type="dxa" w:w="1008"/>
          </w:tcPr>
          <w:p>
            <w:pPr>
              <w:jc w:val="center"/>
            </w:pPr>
            <w:r>
              <w:rPr>
                <w:sz w:val="20"/>
              </w:rPr>
              <w:t>0.21</w:t>
            </w:r>
          </w:p>
        </w:tc>
        <w:tc>
          <w:tcPr>
            <w:tcW w:type="dxa" w:w="1296"/>
          </w:tcPr>
          <w:p>
            <w:pPr>
              <w:jc w:val="center"/>
            </w:pPr>
            <w:r>
              <w:rPr>
                <w:sz w:val="20"/>
              </w:rPr>
              <w:t>2.869</w:t>
            </w:r>
          </w:p>
        </w:tc>
        <w:tc>
          <w:tcPr>
            <w:tcW w:type="dxa" w:w="1296"/>
          </w:tcPr>
          <w:p>
            <w:pPr>
              <w:jc w:val="center"/>
            </w:pPr>
            <w:r>
              <w:rPr>
                <w:sz w:val="20"/>
              </w:rPr>
              <w:t>2.180</w:t>
            </w:r>
          </w:p>
        </w:tc>
      </w:tr>
      <w:tr>
        <w:tc>
          <w:tcPr>
            <w:tcW w:type="dxa" w:w="2160"/>
          </w:tcPr>
          <w:p>
            <w:pPr>
              <w:jc w:val="center"/>
            </w:pPr>
            <w:r>
              <w:rPr>
                <w:sz w:val="20"/>
              </w:rPr>
              <w:t>K. pneumoniae</w:t>
            </w:r>
          </w:p>
        </w:tc>
        <w:tc>
          <w:tcPr>
            <w:tcW w:type="dxa" w:w="2160"/>
          </w:tcPr>
          <w:p>
            <w:pPr>
              <w:jc w:val="center"/>
            </w:pPr>
            <w:r>
              <w:rPr>
                <w:sz w:val="20"/>
              </w:rPr>
              <w:t>XGBoost Tuned</w:t>
            </w:r>
          </w:p>
        </w:tc>
        <w:tc>
          <w:tcPr>
            <w:tcW w:type="dxa" w:w="1296"/>
          </w:tcPr>
          <w:p>
            <w:pPr>
              <w:jc w:val="center"/>
            </w:pPr>
            <w:r>
              <w:rPr>
                <w:sz w:val="20"/>
              </w:rPr>
              <w:t>1.758</w:t>
            </w:r>
          </w:p>
        </w:tc>
        <w:tc>
          <w:tcPr>
            <w:tcW w:type="dxa" w:w="1296"/>
          </w:tcPr>
          <w:p>
            <w:pPr>
              <w:jc w:val="center"/>
            </w:pPr>
            <w:r>
              <w:rPr>
                <w:sz w:val="20"/>
              </w:rPr>
              <w:t>1.002</w:t>
            </w:r>
          </w:p>
        </w:tc>
        <w:tc>
          <w:tcPr>
            <w:tcW w:type="dxa" w:w="1008"/>
          </w:tcPr>
          <w:p>
            <w:pPr>
              <w:jc w:val="center"/>
            </w:pPr>
            <w:r>
              <w:rPr>
                <w:sz w:val="20"/>
              </w:rPr>
              <w:t>-0.01</w:t>
            </w:r>
          </w:p>
        </w:tc>
        <w:tc>
          <w:tcPr>
            <w:tcW w:type="dxa" w:w="1296"/>
          </w:tcPr>
          <w:p>
            <w:pPr>
              <w:jc w:val="center"/>
            </w:pPr>
            <w:r>
              <w:rPr>
                <w:sz w:val="20"/>
              </w:rPr>
              <w:t>1.960</w:t>
            </w:r>
          </w:p>
        </w:tc>
        <w:tc>
          <w:tcPr>
            <w:tcW w:type="dxa" w:w="1296"/>
          </w:tcPr>
          <w:p>
            <w:pPr>
              <w:jc w:val="center"/>
            </w:pPr>
            <w:r>
              <w:rPr>
                <w:sz w:val="20"/>
              </w:rPr>
              <w:t>1.127</w:t>
            </w:r>
          </w:p>
        </w:tc>
      </w:tr>
      <w:tr>
        <w:tc>
          <w:tcPr>
            <w:tcW w:type="dxa" w:w="2160"/>
          </w:tcPr>
          <w:p>
            <w:pPr>
              <w:jc w:val="center"/>
            </w:pPr>
            <w:r>
              <w:rPr>
                <w:sz w:val="20"/>
              </w:rPr>
              <w:t>A. baumannii</w:t>
            </w:r>
          </w:p>
        </w:tc>
        <w:tc>
          <w:tcPr>
            <w:tcW w:type="dxa" w:w="2160"/>
          </w:tcPr>
          <w:p>
            <w:pPr>
              <w:jc w:val="center"/>
            </w:pPr>
            <w:r>
              <w:rPr>
                <w:sz w:val="20"/>
              </w:rPr>
              <w:t>Random Forest</w:t>
            </w:r>
          </w:p>
        </w:tc>
        <w:tc>
          <w:tcPr>
            <w:tcW w:type="dxa" w:w="1296"/>
          </w:tcPr>
          <w:p>
            <w:pPr>
              <w:jc w:val="center"/>
            </w:pPr>
            <w:r>
              <w:rPr>
                <w:sz w:val="20"/>
              </w:rPr>
              <w:t>1.338</w:t>
            </w:r>
          </w:p>
        </w:tc>
        <w:tc>
          <w:tcPr>
            <w:tcW w:type="dxa" w:w="1296"/>
          </w:tcPr>
          <w:p>
            <w:pPr>
              <w:jc w:val="center"/>
            </w:pPr>
            <w:r>
              <w:rPr>
                <w:sz w:val="20"/>
              </w:rPr>
              <w:t>0.789</w:t>
            </w:r>
          </w:p>
        </w:tc>
        <w:tc>
          <w:tcPr>
            <w:tcW w:type="dxa" w:w="1008"/>
          </w:tcPr>
          <w:p>
            <w:pPr>
              <w:jc w:val="center"/>
            </w:pPr>
            <w:r>
              <w:rPr>
                <w:sz w:val="20"/>
              </w:rPr>
              <w:t>0.46</w:t>
            </w:r>
          </w:p>
        </w:tc>
        <w:tc>
          <w:tcPr>
            <w:tcW w:type="dxa" w:w="1296"/>
          </w:tcPr>
          <w:p>
            <w:pPr>
              <w:jc w:val="center"/>
            </w:pPr>
            <w:r>
              <w:rPr>
                <w:sz w:val="20"/>
              </w:rPr>
              <w:t>0.983</w:t>
            </w:r>
          </w:p>
        </w:tc>
        <w:tc>
          <w:tcPr>
            <w:tcW w:type="dxa" w:w="1296"/>
          </w:tcPr>
          <w:p>
            <w:pPr>
              <w:jc w:val="center"/>
            </w:pPr>
            <w:r>
              <w:rPr>
                <w:sz w:val="20"/>
              </w:rPr>
              <w:t>0.510</w:t>
            </w:r>
          </w:p>
        </w:tc>
      </w:tr>
      <w:tr>
        <w:tc>
          <w:tcPr>
            <w:tcW w:type="dxa" w:w="2160"/>
          </w:tcPr>
          <w:p>
            <w:pPr>
              <w:jc w:val="center"/>
            </w:pPr>
            <w:r>
              <w:rPr>
                <w:sz w:val="20"/>
              </w:rPr>
              <w:t>A. baumannii</w:t>
            </w:r>
          </w:p>
        </w:tc>
        <w:tc>
          <w:tcPr>
            <w:tcW w:type="dxa" w:w="2160"/>
          </w:tcPr>
          <w:p>
            <w:pPr>
              <w:jc w:val="center"/>
            </w:pPr>
            <w:r>
              <w:rPr>
                <w:sz w:val="20"/>
              </w:rPr>
              <w:t>XGBoost Tuned</w:t>
            </w:r>
          </w:p>
        </w:tc>
        <w:tc>
          <w:tcPr>
            <w:tcW w:type="dxa" w:w="1296"/>
          </w:tcPr>
          <w:p>
            <w:pPr>
              <w:jc w:val="center"/>
            </w:pPr>
            <w:r>
              <w:rPr>
                <w:sz w:val="20"/>
              </w:rPr>
              <w:t>1.379</w:t>
            </w:r>
          </w:p>
        </w:tc>
        <w:tc>
          <w:tcPr>
            <w:tcW w:type="dxa" w:w="1296"/>
          </w:tcPr>
          <w:p>
            <w:pPr>
              <w:jc w:val="center"/>
            </w:pPr>
            <w:r>
              <w:rPr>
                <w:sz w:val="20"/>
              </w:rPr>
              <w:t>0.707</w:t>
            </w:r>
          </w:p>
        </w:tc>
        <w:tc>
          <w:tcPr>
            <w:tcW w:type="dxa" w:w="1008"/>
          </w:tcPr>
          <w:p>
            <w:pPr>
              <w:jc w:val="center"/>
            </w:pPr>
            <w:r>
              <w:rPr>
                <w:sz w:val="20"/>
              </w:rPr>
              <w:t>0.43</w:t>
            </w:r>
          </w:p>
        </w:tc>
        <w:tc>
          <w:tcPr>
            <w:tcW w:type="dxa" w:w="1296"/>
          </w:tcPr>
          <w:p>
            <w:pPr>
              <w:jc w:val="center"/>
            </w:pPr>
            <w:r>
              <w:rPr>
                <w:sz w:val="20"/>
              </w:rPr>
              <w:t>0.748</w:t>
            </w:r>
          </w:p>
        </w:tc>
        <w:tc>
          <w:tcPr>
            <w:tcW w:type="dxa" w:w="1296"/>
          </w:tcPr>
          <w:p>
            <w:pPr>
              <w:jc w:val="center"/>
            </w:pPr>
            <w:r>
              <w:rPr>
                <w:sz w:val="20"/>
              </w:rPr>
              <w:t>0.270</w:t>
            </w:r>
          </w:p>
        </w:tc>
      </w:tr>
    </w:tbl>
    <w:p/>
    <w:p>
      <w:pPr>
        <w:spacing w:before="0" w:after="80"/>
      </w:pPr>
      <w:r>
        <w:rPr>
          <w:rFonts w:ascii="Calibri" w:hAnsi="Calibri"/>
          <w:b w:val="0"/>
          <w:sz w:val="22"/>
        </w:rPr>
        <w:t>RMSE (R) = RMSE on resistant isolates only (MIC &gt; 8 mg/L). For K. pneumoniae, the bimodal MIC distribution (~75% at censoring floor) causes R2 near zero on the full set; the resistant-subset RMSE is the clinically meaningful metric. XGBoost significantly outperforms Random Forest on resistant A. baumannii (RMSE 0.748 vs 0.983, MAE 0.270 vs 0.510).</w:t>
      </w:r>
    </w:p>
    <w:p>
      <w:pPr>
        <w:spacing w:before="0" w:after="80"/>
      </w:pPr>
      <w:r>
        <w:rPr>
          <w:rFonts w:ascii="Calibri" w:hAnsi="Calibri"/>
          <w:b w:val="0"/>
          <w:sz w:val="22"/>
        </w:rPr>
        <w:t>Top SHAP features (both species): year, pct_censored_year, is_censored, country, specimen_type. The year feature shows a consistent positive SHAP contribution in post-2015 isolates, confirming a quantifiable upward drift in MIC values independent of geographic and demographic factors.</w:t>
      </w:r>
    </w:p>
    <w:p>
      <w:pPr>
        <w:spacing w:before="200" w:after="60"/>
      </w:pPr>
      <w:r>
        <w:rPr>
          <w:rFonts w:ascii="Calibri" w:hAnsi="Calibri"/>
          <w:b/>
          <w:color w:val="1F497D"/>
          <w:sz w:val="26"/>
        </w:rPr>
        <w:t>6. Discussion</w:t>
      </w:r>
    </w:p>
    <w:p>
      <w:pPr>
        <w:spacing w:before="0" w:after="80"/>
      </w:pPr>
      <w:r>
        <w:rPr>
          <w:rFonts w:ascii="Calibri" w:hAnsi="Calibri"/>
          <w:b w:val="0"/>
          <w:sz w:val="22"/>
        </w:rPr>
        <w:t>For K. pneumoniae, the extremely high proportion of censored MIC values (~75%) produces a bimodal distribution that limits overall R2. This is a data artifact, not a modeling failure - most isolates simply cannot be resolved to a precise MIC by the assay panel. The resistant subset (7.4% of isolates) shows meaningful predictive signal (RMSE 1.96 log2-units with XGBoost).</w:t>
      </w:r>
    </w:p>
    <w:p>
      <w:pPr>
        <w:spacing w:before="0" w:after="80"/>
      </w:pPr>
      <w:r>
        <w:rPr>
          <w:rFonts w:ascii="Calibri" w:hAnsi="Calibri"/>
          <w:b w:val="0"/>
          <w:sz w:val="22"/>
        </w:rPr>
        <w:t>For A. baumannii, the substantially higher resistance prevalence (24.7%) and lower censoring rate produce much cleaner signal. XGBoost achieves RMSE 0.748 on resistant isolates, approaching one doubling dilution precision - clinically actionable accuracy.</w:t>
      </w:r>
    </w:p>
    <w:p>
      <w:pPr>
        <w:spacing w:before="0" w:after="80"/>
      </w:pPr>
      <w:r>
        <w:rPr>
          <w:rFonts w:ascii="Calibri" w:hAnsi="Calibri"/>
          <w:b w:val="0"/>
          <w:sz w:val="22"/>
        </w:rPr>
        <w:t>Limitations: (1) ATLAS reflects hospital settings in participating countries, introducing selection bias. (2) Censored MIC imputation introduces systematic downward bias at distribution tails. (3) Country is encoded from historical data and may not generalize to novel surveillance regions. (4) Year is the strongest predictor in SHAP, which may partially reflect changing assay panel ceilings over time rather than true biological resistance drift.</w:t>
      </w:r>
    </w:p>
    <w:p>
      <w:pPr>
        <w:spacing w:before="200" w:after="60"/>
      </w:pPr>
      <w:r>
        <w:rPr>
          <w:rFonts w:ascii="Calibri" w:hAnsi="Calibri"/>
          <w:b/>
          <w:color w:val="1F497D"/>
          <w:sz w:val="26"/>
        </w:rPr>
        <w:t>7. Conclusions</w:t>
      </w:r>
    </w:p>
    <w:p>
      <w:pPr>
        <w:spacing w:before="0" w:after="80"/>
      </w:pPr>
      <w:r>
        <w:rPr>
          <w:rFonts w:ascii="Calibri" w:hAnsi="Calibri"/>
          <w:b w:val="0"/>
          <w:sz w:val="22"/>
        </w:rPr>
        <w:t>This project demonstrates that machine learning can detect and quantify MIC Creep in large-scale AMR surveillance datasets. XGBoost with time-aware validation achieves clinically meaningful accuracy on resistant isolates, particularly for A. baumannii (RMSE 0.748 log2-units). The deployed pipeline - from raw ATLAS CSV to JSON API artefacts - runs end-to-end via a single bash script (run_all.sh). The interactive dashboard (Vercel + FastAPI on Render) provides a public-facing interface for trend visualization without exposing any raw isolate-level data.</w:t>
      </w:r>
    </w:p>
    <w:p>
      <w:pPr>
        <w:spacing w:before="0" w:after="80"/>
      </w:pPr>
      <w:r>
        <w:rPr>
          <w:rFonts w:ascii="Calibri" w:hAnsi="Calibri"/>
          <w:b w:val="0"/>
          <w:sz w:val="22"/>
        </w:rPr>
        <w:t>This PoC establishes the feasibility of automated MIC Creep surveillance and provides a reproducible foundation for future extension to all WHO priority pathogens.</w:t>
      </w:r>
    </w:p>
    <w:p>
      <w:pPr>
        <w:spacing w:before="200" w:after="60"/>
      </w:pPr>
      <w:r>
        <w:rPr>
          <w:rFonts w:ascii="Calibri" w:hAnsi="Calibri"/>
          <w:b/>
          <w:color w:val="1F497D"/>
          <w:sz w:val="26"/>
        </w:rPr>
        <w:t>8. Reproducibility and Source Code</w:t>
      </w:r>
    </w:p>
    <w:p>
      <w:pPr>
        <w:spacing w:before="0" w:after="80"/>
      </w:pPr>
      <w:r>
        <w:rPr>
          <w:rFonts w:ascii="Calibri" w:hAnsi="Calibri"/>
          <w:b w:val="0"/>
          <w:sz w:val="22"/>
        </w:rPr>
        <w:t>All code is open-source: https://github.com/AnnGur/mic-creep-predict</w:t>
        <w:br/>
        <w:t>Pipeline: bash run_all.sh (requires ATLAS raw data in data/raw/)</w:t>
        <w:br/>
        <w:t>Report notebook: notebooks/final_report.ipynb (Colab-compatible)</w:t>
        <w:br/>
        <w:t>Model artefacts: Hugging Face Hub (loaded by FastAPI at startup)</w:t>
        <w:br/>
        <w:t>Raw data: cannot be redistributed per Vivli DUA; access via Vivli AMR Register.</w:t>
      </w:r>
    </w:p>
    <w:p>
      <w:pPr>
        <w:spacing w:before="200" w:after="60"/>
      </w:pPr>
      <w:r>
        <w:rPr>
          <w:rFonts w:ascii="Calibri" w:hAnsi="Calibri"/>
          <w:b/>
          <w:color w:val="1F497D"/>
          <w:sz w:val="26"/>
        </w:rPr>
        <w:t>9. Contribution Statement</w:t>
      </w:r>
    </w:p>
    <w:p>
      <w:pPr>
        <w:spacing w:before="0" w:after="80"/>
      </w:pPr>
      <w:r>
        <w:rPr>
          <w:rFonts w:ascii="Calibri" w:hAnsi="Calibri"/>
          <w:b w:val="0"/>
          <w:sz w:val="22"/>
        </w:rPr>
        <w:t>Anna Gurina (Technical Lead): data pipeline, feature engineering, model training and tuning, SHAP analysis, FastAPI backend, Next.js frontend, infrastructure deployment, notebook report.</w:t>
        <w:br/>
        <w:t>Inna Gurina (Domain Expert): biological interpretation of MIC distributions and SHAP outputs, group definitions (military/paediatric proxies), clinical plausibility review, submission narrative.</w:t>
      </w:r>
    </w:p>
    <w:p>
      <w:pPr>
        <w:spacing w:before="200" w:after="60"/>
      </w:pPr>
      <w:r>
        <w:rPr>
          <w:rFonts w:ascii="Calibri" w:hAnsi="Calibri"/>
          <w:b/>
          <w:color w:val="1F497D"/>
          <w:sz w:val="26"/>
        </w:rPr>
        <w:t>10. References</w:t>
      </w:r>
    </w:p>
    <w:p>
      <w:pPr>
        <w:pStyle w:val="ListBullet"/>
      </w:pPr>
      <w:r>
        <w:rPr>
          <w:rFonts w:ascii="Calibri" w:hAnsi="Calibri"/>
          <w:b w:val="0"/>
          <w:sz w:val="20"/>
        </w:rPr>
        <w:t>[1] Pfizer ATLAS. Antimicrobial Testing Leadership and Surveillance. Vivli AMR Register, 2004-2022.</w:t>
      </w:r>
    </w:p>
    <w:p>
      <w:pPr>
        <w:pStyle w:val="ListBullet"/>
      </w:pPr>
      <w:r>
        <w:rPr>
          <w:rFonts w:ascii="Calibri" w:hAnsi="Calibri"/>
          <w:b w:val="0"/>
          <w:sz w:val="20"/>
        </w:rPr>
        <w:t>[2] EUCAST. Clinical Breakpoints - Bacteria v14.0. European Committee on Antimicrobial Susceptibility Testing, 2024.</w:t>
      </w:r>
    </w:p>
    <w:p>
      <w:pPr>
        <w:pStyle w:val="ListBullet"/>
      </w:pPr>
      <w:r>
        <w:rPr>
          <w:rFonts w:ascii="Calibri" w:hAnsi="Calibri"/>
          <w:b w:val="0"/>
          <w:sz w:val="20"/>
        </w:rPr>
        <w:t>[3] Chen T, Guestrin C. XGBoost: A Scalable Tree Boosting System. KDD 2016.</w:t>
      </w:r>
    </w:p>
    <w:p>
      <w:pPr>
        <w:pStyle w:val="ListBullet"/>
      </w:pPr>
      <w:r>
        <w:rPr>
          <w:rFonts w:ascii="Calibri" w:hAnsi="Calibri"/>
          <w:b w:val="0"/>
          <w:sz w:val="20"/>
        </w:rPr>
        <w:t>[4] Lundberg SM, Lee S-I. A Unified Approach to Interpreting Model Predictions. NeurIPS 2017.</w:t>
      </w:r>
    </w:p>
    <w:p>
      <w:pPr>
        <w:pStyle w:val="ListBullet"/>
      </w:pPr>
      <w:r>
        <w:rPr>
          <w:rFonts w:ascii="Calibri" w:hAnsi="Calibri"/>
          <w:b w:val="0"/>
          <w:sz w:val="20"/>
        </w:rPr>
        <w:t>[5] Akiba T, et al. Optuna: A Next-generation Hyperparameter Optimization Framework. KDD 2019.</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