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334A5" w14:textId="77777777" w:rsidR="00373AB1" w:rsidRDefault="00373AB1" w:rsidP="00FB7184">
      <w:pPr>
        <w:pStyle w:val="Heading1"/>
        <w:rPr>
          <w:rFonts w:asciiTheme="minorBidi" w:hAnsiTheme="minorBidi" w:cstheme="minorBidi"/>
          <w:color w:val="auto"/>
          <w:sz w:val="36"/>
          <w:szCs w:val="36"/>
        </w:rPr>
      </w:pPr>
      <w:bookmarkStart w:id="0" w:name="_Hlk205215961"/>
    </w:p>
    <w:p w14:paraId="1221C60F" w14:textId="77777777" w:rsidR="00373AB1" w:rsidRPr="00373AB1" w:rsidRDefault="00373AB1" w:rsidP="00373AB1">
      <w:pPr>
        <w:jc w:val="center"/>
        <w:rPr>
          <w:b/>
          <w:bCs/>
          <w:sz w:val="28"/>
          <w:szCs w:val="28"/>
        </w:rPr>
      </w:pPr>
      <w:r w:rsidRPr="00373AB1">
        <w:rPr>
          <w:b/>
          <w:bCs/>
          <w:sz w:val="28"/>
          <w:szCs w:val="28"/>
        </w:rPr>
        <w:t>UNIVERSITY OF KWAZULU-NATAL</w:t>
      </w:r>
    </w:p>
    <w:p w14:paraId="34B7E86B" w14:textId="77777777" w:rsidR="00373AB1" w:rsidRPr="00373AB1" w:rsidRDefault="00373AB1" w:rsidP="00373AB1">
      <w:pPr>
        <w:jc w:val="center"/>
        <w:rPr>
          <w:b/>
          <w:bCs/>
          <w:sz w:val="28"/>
          <w:szCs w:val="28"/>
        </w:rPr>
      </w:pPr>
      <w:r w:rsidRPr="00373AB1">
        <w:rPr>
          <w:b/>
          <w:bCs/>
          <w:sz w:val="28"/>
          <w:szCs w:val="28"/>
        </w:rPr>
        <w:t>COLLEGE OF LAW AND MANAGEMENT STUDIES</w:t>
      </w:r>
    </w:p>
    <w:p w14:paraId="0E5C28D7" w14:textId="77777777" w:rsidR="00373AB1" w:rsidRPr="00373AB1" w:rsidRDefault="00373AB1" w:rsidP="00373AB1">
      <w:pPr>
        <w:jc w:val="center"/>
        <w:rPr>
          <w:b/>
          <w:bCs/>
          <w:sz w:val="28"/>
          <w:szCs w:val="28"/>
        </w:rPr>
      </w:pPr>
      <w:r w:rsidRPr="00373AB1">
        <w:rPr>
          <w:b/>
          <w:bCs/>
          <w:sz w:val="28"/>
          <w:szCs w:val="28"/>
        </w:rPr>
        <w:t>SCHOOL OF LAW</w:t>
      </w:r>
    </w:p>
    <w:p w14:paraId="75996483" w14:textId="77777777" w:rsidR="00373AB1" w:rsidRPr="00373AB1" w:rsidRDefault="00373AB1" w:rsidP="00373AB1">
      <w:pPr>
        <w:jc w:val="center"/>
        <w:rPr>
          <w:b/>
          <w:bCs/>
          <w:sz w:val="28"/>
          <w:szCs w:val="28"/>
        </w:rPr>
      </w:pPr>
    </w:p>
    <w:p w14:paraId="0F57DF7F" w14:textId="77777777" w:rsidR="00373AB1" w:rsidRPr="00373AB1" w:rsidRDefault="00373AB1" w:rsidP="00373AB1">
      <w:pPr>
        <w:jc w:val="center"/>
        <w:rPr>
          <w:b/>
          <w:bCs/>
          <w:sz w:val="28"/>
          <w:szCs w:val="28"/>
        </w:rPr>
      </w:pPr>
    </w:p>
    <w:p w14:paraId="7C8E7151" w14:textId="77777777" w:rsidR="00373AB1" w:rsidRPr="00373AB1" w:rsidRDefault="00373AB1" w:rsidP="00373AB1">
      <w:pPr>
        <w:jc w:val="center"/>
        <w:rPr>
          <w:b/>
          <w:bCs/>
          <w:sz w:val="28"/>
          <w:szCs w:val="28"/>
        </w:rPr>
      </w:pPr>
    </w:p>
    <w:p w14:paraId="5A011665" w14:textId="77777777" w:rsidR="00373AB1" w:rsidRPr="00373AB1" w:rsidRDefault="00373AB1" w:rsidP="00373AB1">
      <w:pPr>
        <w:jc w:val="center"/>
        <w:rPr>
          <w:b/>
          <w:bCs/>
          <w:sz w:val="28"/>
          <w:szCs w:val="28"/>
        </w:rPr>
      </w:pPr>
      <w:r w:rsidRPr="00373AB1">
        <w:rPr>
          <w:b/>
          <w:bCs/>
          <w:sz w:val="28"/>
          <w:szCs w:val="28"/>
        </w:rPr>
        <w:t xml:space="preserve">Continuous Compliance for Adaptive Devices: Regulatory Readiness and Post-Market Surveillance of SaMD and </w:t>
      </w:r>
      <w:proofErr w:type="spellStart"/>
      <w:r w:rsidRPr="00373AB1">
        <w:rPr>
          <w:b/>
          <w:bCs/>
          <w:sz w:val="28"/>
          <w:szCs w:val="28"/>
        </w:rPr>
        <w:t>AIaMD</w:t>
      </w:r>
      <w:proofErr w:type="spellEnd"/>
      <w:r w:rsidRPr="00373AB1">
        <w:rPr>
          <w:b/>
          <w:bCs/>
          <w:sz w:val="28"/>
          <w:szCs w:val="28"/>
        </w:rPr>
        <w:t xml:space="preserve"> in South Africa and the European Union</w:t>
      </w:r>
    </w:p>
    <w:p w14:paraId="027C1F20" w14:textId="77777777" w:rsidR="00373AB1" w:rsidRPr="00373AB1" w:rsidRDefault="00373AB1" w:rsidP="00373AB1">
      <w:pPr>
        <w:jc w:val="center"/>
        <w:rPr>
          <w:b/>
          <w:bCs/>
          <w:sz w:val="28"/>
          <w:szCs w:val="28"/>
        </w:rPr>
      </w:pPr>
    </w:p>
    <w:p w14:paraId="766211F9" w14:textId="77777777" w:rsidR="00373AB1" w:rsidRPr="00373AB1" w:rsidRDefault="00373AB1" w:rsidP="00373AB1">
      <w:pPr>
        <w:jc w:val="center"/>
        <w:rPr>
          <w:b/>
          <w:bCs/>
          <w:sz w:val="28"/>
          <w:szCs w:val="28"/>
        </w:rPr>
      </w:pPr>
    </w:p>
    <w:p w14:paraId="079D0574" w14:textId="77777777" w:rsidR="00373AB1" w:rsidRPr="00373AB1" w:rsidRDefault="00373AB1" w:rsidP="00373AB1">
      <w:pPr>
        <w:jc w:val="center"/>
        <w:rPr>
          <w:b/>
          <w:bCs/>
          <w:sz w:val="28"/>
          <w:szCs w:val="28"/>
        </w:rPr>
      </w:pPr>
    </w:p>
    <w:p w14:paraId="13072AFF" w14:textId="12FA1EF7" w:rsidR="00373AB1" w:rsidRPr="00373AB1" w:rsidRDefault="00373AB1" w:rsidP="00373AB1">
      <w:pPr>
        <w:jc w:val="center"/>
        <w:rPr>
          <w:b/>
          <w:bCs/>
          <w:sz w:val="28"/>
          <w:szCs w:val="28"/>
        </w:rPr>
      </w:pPr>
      <w:r w:rsidRPr="00373AB1">
        <w:rPr>
          <w:b/>
          <w:bCs/>
          <w:sz w:val="28"/>
          <w:szCs w:val="28"/>
        </w:rPr>
        <w:t>Annemarie Maidment</w:t>
      </w:r>
    </w:p>
    <w:p w14:paraId="0ACD6A87" w14:textId="5FAE75D3" w:rsidR="00373AB1" w:rsidRPr="00373AB1" w:rsidRDefault="00373AB1" w:rsidP="00373AB1">
      <w:pPr>
        <w:jc w:val="center"/>
        <w:rPr>
          <w:b/>
          <w:bCs/>
          <w:sz w:val="28"/>
          <w:szCs w:val="28"/>
        </w:rPr>
      </w:pPr>
      <w:r w:rsidRPr="00373AB1">
        <w:rPr>
          <w:b/>
          <w:bCs/>
          <w:sz w:val="28"/>
          <w:szCs w:val="28"/>
        </w:rPr>
        <w:t>Student no: 219069111</w:t>
      </w:r>
    </w:p>
    <w:p w14:paraId="4D609233" w14:textId="77777777" w:rsidR="00373AB1" w:rsidRPr="00373AB1" w:rsidRDefault="00373AB1" w:rsidP="00373AB1">
      <w:pPr>
        <w:jc w:val="center"/>
        <w:rPr>
          <w:b/>
          <w:bCs/>
          <w:sz w:val="28"/>
          <w:szCs w:val="28"/>
        </w:rPr>
      </w:pPr>
    </w:p>
    <w:p w14:paraId="79CE6DEF" w14:textId="77777777" w:rsidR="00373AB1" w:rsidRPr="00373AB1" w:rsidRDefault="00373AB1" w:rsidP="00373AB1">
      <w:pPr>
        <w:jc w:val="center"/>
        <w:rPr>
          <w:b/>
          <w:bCs/>
          <w:sz w:val="28"/>
          <w:szCs w:val="28"/>
        </w:rPr>
      </w:pPr>
    </w:p>
    <w:p w14:paraId="3CEBEE4D" w14:textId="77777777" w:rsidR="00373AB1" w:rsidRPr="00373AB1" w:rsidRDefault="00373AB1" w:rsidP="00373AB1">
      <w:pPr>
        <w:jc w:val="center"/>
        <w:rPr>
          <w:b/>
          <w:bCs/>
          <w:sz w:val="28"/>
          <w:szCs w:val="28"/>
        </w:rPr>
      </w:pPr>
    </w:p>
    <w:p w14:paraId="418F5AAC" w14:textId="77777777" w:rsidR="00373AB1" w:rsidRPr="00373AB1" w:rsidRDefault="00373AB1" w:rsidP="00373AB1">
      <w:pPr>
        <w:jc w:val="center"/>
        <w:rPr>
          <w:b/>
          <w:bCs/>
          <w:sz w:val="28"/>
          <w:szCs w:val="28"/>
        </w:rPr>
      </w:pPr>
    </w:p>
    <w:p w14:paraId="4030CFD6" w14:textId="28D8B481" w:rsidR="00373AB1" w:rsidRDefault="00373AB1" w:rsidP="00373AB1">
      <w:pPr>
        <w:jc w:val="center"/>
        <w:rPr>
          <w:b/>
          <w:bCs/>
          <w:sz w:val="28"/>
          <w:szCs w:val="28"/>
        </w:rPr>
      </w:pPr>
      <w:r w:rsidRPr="00373AB1">
        <w:rPr>
          <w:b/>
          <w:bCs/>
          <w:sz w:val="28"/>
          <w:szCs w:val="28"/>
        </w:rPr>
        <w:t>Supervisor: Dr J Toohey</w:t>
      </w:r>
    </w:p>
    <w:p w14:paraId="59CFD4A4" w14:textId="77777777" w:rsidR="00D751B8" w:rsidRPr="00373AB1" w:rsidRDefault="00D751B8" w:rsidP="00373AB1">
      <w:pPr>
        <w:jc w:val="center"/>
        <w:rPr>
          <w:b/>
          <w:bCs/>
          <w:sz w:val="28"/>
          <w:szCs w:val="28"/>
        </w:rPr>
      </w:pPr>
    </w:p>
    <w:sdt>
      <w:sdtPr>
        <w:rPr>
          <w:rFonts w:asciiTheme="minorHAnsi" w:eastAsiaTheme="minorEastAsia" w:hAnsiTheme="minorHAnsi" w:cstheme="minorBidi"/>
          <w:b w:val="0"/>
          <w:bCs w:val="0"/>
          <w:color w:val="auto"/>
          <w:sz w:val="22"/>
          <w:szCs w:val="22"/>
        </w:rPr>
        <w:id w:val="-2053144543"/>
        <w:docPartObj>
          <w:docPartGallery w:val="Table of Contents"/>
          <w:docPartUnique/>
        </w:docPartObj>
      </w:sdtPr>
      <w:sdtEndPr>
        <w:rPr>
          <w:noProof/>
        </w:rPr>
      </w:sdtEndPr>
      <w:sdtContent>
        <w:p w14:paraId="0259B4BA" w14:textId="15367395" w:rsidR="00373AB1" w:rsidRDefault="00373AB1">
          <w:pPr>
            <w:pStyle w:val="TOCHeading"/>
          </w:pPr>
          <w:r>
            <w:t>Contents</w:t>
          </w:r>
        </w:p>
        <w:p w14:paraId="06A00EF8" w14:textId="61ECA5F4" w:rsidR="00960028" w:rsidRDefault="00373AB1">
          <w:pPr>
            <w:pStyle w:val="TOC1"/>
            <w:tabs>
              <w:tab w:val="right" w:leader="dot" w:pos="8630"/>
            </w:tabs>
            <w:rPr>
              <w:noProof/>
              <w:kern w:val="2"/>
              <w:sz w:val="24"/>
              <w:szCs w:val="24"/>
              <w:lang w:val="en-ZA" w:eastAsia="en-ZA"/>
              <w14:ligatures w14:val="standardContextual"/>
            </w:rPr>
          </w:pPr>
          <w:r>
            <w:fldChar w:fldCharType="begin"/>
          </w:r>
          <w:r>
            <w:instrText xml:space="preserve"> TOC \o "1-3" \h \z \u </w:instrText>
          </w:r>
          <w:r>
            <w:fldChar w:fldCharType="separate"/>
          </w:r>
          <w:hyperlink w:anchor="_Toc217045468" w:history="1">
            <w:r w:rsidR="00960028" w:rsidRPr="009E479A">
              <w:rPr>
                <w:rStyle w:val="Hyperlink"/>
                <w:rFonts w:asciiTheme="minorBidi" w:hAnsiTheme="minorBidi"/>
                <w:noProof/>
              </w:rPr>
              <w:t>Continuous Compliance for Adaptive Devices: Regulatory Readiness and Post-Market Surveillance of SaMD and AIaMD in South Africa and the European Union</w:t>
            </w:r>
            <w:r w:rsidR="00960028">
              <w:rPr>
                <w:noProof/>
                <w:webHidden/>
              </w:rPr>
              <w:tab/>
            </w:r>
            <w:r w:rsidR="00960028">
              <w:rPr>
                <w:noProof/>
                <w:webHidden/>
              </w:rPr>
              <w:fldChar w:fldCharType="begin"/>
            </w:r>
            <w:r w:rsidR="00960028">
              <w:rPr>
                <w:noProof/>
                <w:webHidden/>
              </w:rPr>
              <w:instrText xml:space="preserve"> PAGEREF _Toc217045468 \h </w:instrText>
            </w:r>
            <w:r w:rsidR="00960028">
              <w:rPr>
                <w:noProof/>
                <w:webHidden/>
              </w:rPr>
            </w:r>
            <w:r w:rsidR="00960028">
              <w:rPr>
                <w:noProof/>
                <w:webHidden/>
              </w:rPr>
              <w:fldChar w:fldCharType="separate"/>
            </w:r>
            <w:r w:rsidR="00960028">
              <w:rPr>
                <w:noProof/>
                <w:webHidden/>
              </w:rPr>
              <w:t>2</w:t>
            </w:r>
            <w:r w:rsidR="00960028">
              <w:rPr>
                <w:noProof/>
                <w:webHidden/>
              </w:rPr>
              <w:fldChar w:fldCharType="end"/>
            </w:r>
          </w:hyperlink>
        </w:p>
        <w:p w14:paraId="456AEF4C" w14:textId="0A32F865" w:rsidR="00960028" w:rsidRDefault="00960028">
          <w:pPr>
            <w:pStyle w:val="TOC1"/>
            <w:tabs>
              <w:tab w:val="right" w:leader="dot" w:pos="8630"/>
            </w:tabs>
            <w:rPr>
              <w:noProof/>
              <w:kern w:val="2"/>
              <w:sz w:val="24"/>
              <w:szCs w:val="24"/>
              <w:lang w:val="en-ZA" w:eastAsia="en-ZA"/>
              <w14:ligatures w14:val="standardContextual"/>
            </w:rPr>
          </w:pPr>
          <w:hyperlink w:anchor="_Toc217045469" w:history="1">
            <w:r w:rsidRPr="009E479A">
              <w:rPr>
                <w:rStyle w:val="Hyperlink"/>
                <w:rFonts w:asciiTheme="minorBidi" w:hAnsiTheme="minorBidi"/>
                <w:noProof/>
              </w:rPr>
              <w:t>1 Introduction</w:t>
            </w:r>
            <w:r>
              <w:rPr>
                <w:noProof/>
                <w:webHidden/>
              </w:rPr>
              <w:tab/>
            </w:r>
            <w:r>
              <w:rPr>
                <w:noProof/>
                <w:webHidden/>
              </w:rPr>
              <w:fldChar w:fldCharType="begin"/>
            </w:r>
            <w:r>
              <w:rPr>
                <w:noProof/>
                <w:webHidden/>
              </w:rPr>
              <w:instrText xml:space="preserve"> PAGEREF _Toc217045469 \h </w:instrText>
            </w:r>
            <w:r>
              <w:rPr>
                <w:noProof/>
                <w:webHidden/>
              </w:rPr>
            </w:r>
            <w:r>
              <w:rPr>
                <w:noProof/>
                <w:webHidden/>
              </w:rPr>
              <w:fldChar w:fldCharType="separate"/>
            </w:r>
            <w:r>
              <w:rPr>
                <w:noProof/>
                <w:webHidden/>
              </w:rPr>
              <w:t>2</w:t>
            </w:r>
            <w:r>
              <w:rPr>
                <w:noProof/>
                <w:webHidden/>
              </w:rPr>
              <w:fldChar w:fldCharType="end"/>
            </w:r>
          </w:hyperlink>
        </w:p>
        <w:p w14:paraId="326B2115" w14:textId="42FC432E" w:rsidR="00960028" w:rsidRDefault="00960028">
          <w:pPr>
            <w:pStyle w:val="TOC1"/>
            <w:tabs>
              <w:tab w:val="right" w:leader="dot" w:pos="8630"/>
            </w:tabs>
            <w:rPr>
              <w:noProof/>
              <w:kern w:val="2"/>
              <w:sz w:val="24"/>
              <w:szCs w:val="24"/>
              <w:lang w:val="en-ZA" w:eastAsia="en-ZA"/>
              <w14:ligatures w14:val="standardContextual"/>
            </w:rPr>
          </w:pPr>
          <w:hyperlink w:anchor="_Toc217045470" w:history="1">
            <w:r w:rsidRPr="009E479A">
              <w:rPr>
                <w:rStyle w:val="Hyperlink"/>
                <w:rFonts w:asciiTheme="minorBidi" w:hAnsiTheme="minorBidi"/>
                <w:noProof/>
              </w:rPr>
              <w:t>3.1 Introduction:</w:t>
            </w:r>
            <w:r>
              <w:rPr>
                <w:noProof/>
                <w:webHidden/>
              </w:rPr>
              <w:tab/>
            </w:r>
            <w:r>
              <w:rPr>
                <w:noProof/>
                <w:webHidden/>
              </w:rPr>
              <w:fldChar w:fldCharType="begin"/>
            </w:r>
            <w:r>
              <w:rPr>
                <w:noProof/>
                <w:webHidden/>
              </w:rPr>
              <w:instrText xml:space="preserve"> PAGEREF _Toc217045470 \h </w:instrText>
            </w:r>
            <w:r>
              <w:rPr>
                <w:noProof/>
                <w:webHidden/>
              </w:rPr>
            </w:r>
            <w:r>
              <w:rPr>
                <w:noProof/>
                <w:webHidden/>
              </w:rPr>
              <w:fldChar w:fldCharType="separate"/>
            </w:r>
            <w:r>
              <w:rPr>
                <w:noProof/>
                <w:webHidden/>
              </w:rPr>
              <w:t>6</w:t>
            </w:r>
            <w:r>
              <w:rPr>
                <w:noProof/>
                <w:webHidden/>
              </w:rPr>
              <w:fldChar w:fldCharType="end"/>
            </w:r>
          </w:hyperlink>
        </w:p>
        <w:p w14:paraId="52E100BD" w14:textId="2FD90D1D" w:rsidR="00960028" w:rsidRDefault="00960028">
          <w:pPr>
            <w:pStyle w:val="TOC1"/>
            <w:tabs>
              <w:tab w:val="right" w:leader="dot" w:pos="8630"/>
            </w:tabs>
            <w:rPr>
              <w:noProof/>
              <w:kern w:val="2"/>
              <w:sz w:val="24"/>
              <w:szCs w:val="24"/>
              <w:lang w:val="en-ZA" w:eastAsia="en-ZA"/>
              <w14:ligatures w14:val="standardContextual"/>
            </w:rPr>
          </w:pPr>
          <w:hyperlink w:anchor="_Toc217045471" w:history="1">
            <w:r w:rsidRPr="009E479A">
              <w:rPr>
                <w:rStyle w:val="Hyperlink"/>
                <w:rFonts w:asciiTheme="minorBidi" w:hAnsiTheme="minorBidi"/>
                <w:noProof/>
              </w:rPr>
              <w:t>3.2  Historical Overview</w:t>
            </w:r>
            <w:r>
              <w:rPr>
                <w:noProof/>
                <w:webHidden/>
              </w:rPr>
              <w:tab/>
            </w:r>
            <w:r>
              <w:rPr>
                <w:noProof/>
                <w:webHidden/>
              </w:rPr>
              <w:fldChar w:fldCharType="begin"/>
            </w:r>
            <w:r>
              <w:rPr>
                <w:noProof/>
                <w:webHidden/>
              </w:rPr>
              <w:instrText xml:space="preserve"> PAGEREF _Toc217045471 \h </w:instrText>
            </w:r>
            <w:r>
              <w:rPr>
                <w:noProof/>
                <w:webHidden/>
              </w:rPr>
            </w:r>
            <w:r>
              <w:rPr>
                <w:noProof/>
                <w:webHidden/>
              </w:rPr>
              <w:fldChar w:fldCharType="separate"/>
            </w:r>
            <w:r>
              <w:rPr>
                <w:noProof/>
                <w:webHidden/>
              </w:rPr>
              <w:t>6</w:t>
            </w:r>
            <w:r>
              <w:rPr>
                <w:noProof/>
                <w:webHidden/>
              </w:rPr>
              <w:fldChar w:fldCharType="end"/>
            </w:r>
          </w:hyperlink>
        </w:p>
        <w:p w14:paraId="1CE631E5" w14:textId="006BB7D2" w:rsidR="00960028" w:rsidRDefault="00960028">
          <w:pPr>
            <w:pStyle w:val="TOC1"/>
            <w:tabs>
              <w:tab w:val="right" w:leader="dot" w:pos="8630"/>
            </w:tabs>
            <w:rPr>
              <w:noProof/>
              <w:kern w:val="2"/>
              <w:sz w:val="24"/>
              <w:szCs w:val="24"/>
              <w:lang w:val="en-ZA" w:eastAsia="en-ZA"/>
              <w14:ligatures w14:val="standardContextual"/>
            </w:rPr>
          </w:pPr>
          <w:hyperlink w:anchor="_Toc217045472" w:history="1">
            <w:r w:rsidRPr="009E479A">
              <w:rPr>
                <w:rStyle w:val="Hyperlink"/>
                <w:rFonts w:asciiTheme="minorBidi" w:hAnsiTheme="minorBidi"/>
                <w:noProof/>
              </w:rPr>
              <w:t>3.2.1  Pre-2016: Legislative Vacuum and Regulatory Ambiguity</w:t>
            </w:r>
            <w:r>
              <w:rPr>
                <w:noProof/>
                <w:webHidden/>
              </w:rPr>
              <w:tab/>
            </w:r>
            <w:r>
              <w:rPr>
                <w:noProof/>
                <w:webHidden/>
              </w:rPr>
              <w:fldChar w:fldCharType="begin"/>
            </w:r>
            <w:r>
              <w:rPr>
                <w:noProof/>
                <w:webHidden/>
              </w:rPr>
              <w:instrText xml:space="preserve"> PAGEREF _Toc217045472 \h </w:instrText>
            </w:r>
            <w:r>
              <w:rPr>
                <w:noProof/>
                <w:webHidden/>
              </w:rPr>
            </w:r>
            <w:r>
              <w:rPr>
                <w:noProof/>
                <w:webHidden/>
              </w:rPr>
              <w:fldChar w:fldCharType="separate"/>
            </w:r>
            <w:r>
              <w:rPr>
                <w:noProof/>
                <w:webHidden/>
              </w:rPr>
              <w:t>6</w:t>
            </w:r>
            <w:r>
              <w:rPr>
                <w:noProof/>
                <w:webHidden/>
              </w:rPr>
              <w:fldChar w:fldCharType="end"/>
            </w:r>
          </w:hyperlink>
        </w:p>
        <w:p w14:paraId="4614F2DC" w14:textId="69967DC8" w:rsidR="00960028" w:rsidRDefault="00960028">
          <w:pPr>
            <w:pStyle w:val="TOC1"/>
            <w:tabs>
              <w:tab w:val="right" w:leader="dot" w:pos="8630"/>
            </w:tabs>
            <w:rPr>
              <w:noProof/>
              <w:kern w:val="2"/>
              <w:sz w:val="24"/>
              <w:szCs w:val="24"/>
              <w:lang w:val="en-ZA" w:eastAsia="en-ZA"/>
              <w14:ligatures w14:val="standardContextual"/>
            </w:rPr>
          </w:pPr>
          <w:hyperlink w:anchor="_Toc217045473" w:history="1">
            <w:r w:rsidRPr="009E479A">
              <w:rPr>
                <w:rStyle w:val="Hyperlink"/>
                <w:rFonts w:asciiTheme="minorBidi" w:hAnsiTheme="minorBidi"/>
                <w:noProof/>
              </w:rPr>
              <w:t>3.2.4 2022–2023: Academic and Legal Recognition of SaMD/AIaMD Complexity</w:t>
            </w:r>
            <w:r>
              <w:rPr>
                <w:noProof/>
                <w:webHidden/>
              </w:rPr>
              <w:tab/>
            </w:r>
            <w:r>
              <w:rPr>
                <w:noProof/>
                <w:webHidden/>
              </w:rPr>
              <w:fldChar w:fldCharType="begin"/>
            </w:r>
            <w:r>
              <w:rPr>
                <w:noProof/>
                <w:webHidden/>
              </w:rPr>
              <w:instrText xml:space="preserve"> PAGEREF _Toc217045473 \h </w:instrText>
            </w:r>
            <w:r>
              <w:rPr>
                <w:noProof/>
                <w:webHidden/>
              </w:rPr>
            </w:r>
            <w:r>
              <w:rPr>
                <w:noProof/>
                <w:webHidden/>
              </w:rPr>
              <w:fldChar w:fldCharType="separate"/>
            </w:r>
            <w:r>
              <w:rPr>
                <w:noProof/>
                <w:webHidden/>
              </w:rPr>
              <w:t>8</w:t>
            </w:r>
            <w:r>
              <w:rPr>
                <w:noProof/>
                <w:webHidden/>
              </w:rPr>
              <w:fldChar w:fldCharType="end"/>
            </w:r>
          </w:hyperlink>
        </w:p>
        <w:p w14:paraId="2CB5C581" w14:textId="1ED1892F" w:rsidR="00960028" w:rsidRDefault="00960028">
          <w:pPr>
            <w:pStyle w:val="TOC1"/>
            <w:tabs>
              <w:tab w:val="right" w:leader="dot" w:pos="8630"/>
            </w:tabs>
            <w:rPr>
              <w:noProof/>
              <w:kern w:val="2"/>
              <w:sz w:val="24"/>
              <w:szCs w:val="24"/>
              <w:lang w:val="en-ZA" w:eastAsia="en-ZA"/>
              <w14:ligatures w14:val="standardContextual"/>
            </w:rPr>
          </w:pPr>
          <w:hyperlink w:anchor="_Toc217045474" w:history="1">
            <w:r w:rsidRPr="009E479A">
              <w:rPr>
                <w:rStyle w:val="Hyperlink"/>
                <w:rFonts w:asciiTheme="minorBidi" w:hAnsiTheme="minorBidi"/>
                <w:noProof/>
              </w:rPr>
              <w:t>3.2.6 2024–2025: Toward Formal Differentiation—But AIaMD Gaps Persist</w:t>
            </w:r>
            <w:r>
              <w:rPr>
                <w:noProof/>
                <w:webHidden/>
              </w:rPr>
              <w:tab/>
            </w:r>
            <w:r>
              <w:rPr>
                <w:noProof/>
                <w:webHidden/>
              </w:rPr>
              <w:fldChar w:fldCharType="begin"/>
            </w:r>
            <w:r>
              <w:rPr>
                <w:noProof/>
                <w:webHidden/>
              </w:rPr>
              <w:instrText xml:space="preserve"> PAGEREF _Toc217045474 \h </w:instrText>
            </w:r>
            <w:r>
              <w:rPr>
                <w:noProof/>
                <w:webHidden/>
              </w:rPr>
            </w:r>
            <w:r>
              <w:rPr>
                <w:noProof/>
                <w:webHidden/>
              </w:rPr>
              <w:fldChar w:fldCharType="separate"/>
            </w:r>
            <w:r>
              <w:rPr>
                <w:noProof/>
                <w:webHidden/>
              </w:rPr>
              <w:t>9</w:t>
            </w:r>
            <w:r>
              <w:rPr>
                <w:noProof/>
                <w:webHidden/>
              </w:rPr>
              <w:fldChar w:fldCharType="end"/>
            </w:r>
          </w:hyperlink>
        </w:p>
        <w:p w14:paraId="5466A8B3" w14:textId="7BF4C0D7" w:rsidR="00960028" w:rsidRDefault="00960028">
          <w:pPr>
            <w:pStyle w:val="TOC1"/>
            <w:tabs>
              <w:tab w:val="right" w:leader="dot" w:pos="8630"/>
            </w:tabs>
            <w:rPr>
              <w:noProof/>
              <w:kern w:val="2"/>
              <w:sz w:val="24"/>
              <w:szCs w:val="24"/>
              <w:lang w:val="en-ZA" w:eastAsia="en-ZA"/>
              <w14:ligatures w14:val="standardContextual"/>
            </w:rPr>
          </w:pPr>
          <w:hyperlink w:anchor="_Toc217045475" w:history="1">
            <w:r w:rsidRPr="009E479A">
              <w:rPr>
                <w:rStyle w:val="Hyperlink"/>
                <w:rFonts w:asciiTheme="minorBidi" w:hAnsiTheme="minorBidi"/>
                <w:noProof/>
              </w:rPr>
              <w:t>3.3  Interdisciplinary Commentary and Comparative Context</w:t>
            </w:r>
            <w:r>
              <w:rPr>
                <w:noProof/>
                <w:webHidden/>
              </w:rPr>
              <w:tab/>
            </w:r>
            <w:r>
              <w:rPr>
                <w:noProof/>
                <w:webHidden/>
              </w:rPr>
              <w:fldChar w:fldCharType="begin"/>
            </w:r>
            <w:r>
              <w:rPr>
                <w:noProof/>
                <w:webHidden/>
              </w:rPr>
              <w:instrText xml:space="preserve"> PAGEREF _Toc217045475 \h </w:instrText>
            </w:r>
            <w:r>
              <w:rPr>
                <w:noProof/>
                <w:webHidden/>
              </w:rPr>
            </w:r>
            <w:r>
              <w:rPr>
                <w:noProof/>
                <w:webHidden/>
              </w:rPr>
              <w:fldChar w:fldCharType="separate"/>
            </w:r>
            <w:r>
              <w:rPr>
                <w:noProof/>
                <w:webHidden/>
              </w:rPr>
              <w:t>10</w:t>
            </w:r>
            <w:r>
              <w:rPr>
                <w:noProof/>
                <w:webHidden/>
              </w:rPr>
              <w:fldChar w:fldCharType="end"/>
            </w:r>
          </w:hyperlink>
        </w:p>
        <w:p w14:paraId="0162B5C5" w14:textId="72B2E39F" w:rsidR="00960028" w:rsidRDefault="00960028">
          <w:pPr>
            <w:pStyle w:val="TOC1"/>
            <w:tabs>
              <w:tab w:val="right" w:leader="dot" w:pos="8630"/>
            </w:tabs>
            <w:rPr>
              <w:noProof/>
              <w:kern w:val="2"/>
              <w:sz w:val="24"/>
              <w:szCs w:val="24"/>
              <w:lang w:val="en-ZA" w:eastAsia="en-ZA"/>
              <w14:ligatures w14:val="standardContextual"/>
            </w:rPr>
          </w:pPr>
          <w:hyperlink w:anchor="_Toc217045476" w:history="1">
            <w:r w:rsidRPr="009E479A">
              <w:rPr>
                <w:rStyle w:val="Hyperlink"/>
                <w:rFonts w:asciiTheme="minorBidi" w:hAnsiTheme="minorBidi"/>
                <w:noProof/>
              </w:rPr>
              <w:t>3.4  SAHPRA AU Collaboration</w:t>
            </w:r>
            <w:r>
              <w:rPr>
                <w:noProof/>
                <w:webHidden/>
              </w:rPr>
              <w:tab/>
            </w:r>
            <w:r>
              <w:rPr>
                <w:noProof/>
                <w:webHidden/>
              </w:rPr>
              <w:fldChar w:fldCharType="begin"/>
            </w:r>
            <w:r>
              <w:rPr>
                <w:noProof/>
                <w:webHidden/>
              </w:rPr>
              <w:instrText xml:space="preserve"> PAGEREF _Toc217045476 \h </w:instrText>
            </w:r>
            <w:r>
              <w:rPr>
                <w:noProof/>
                <w:webHidden/>
              </w:rPr>
            </w:r>
            <w:r>
              <w:rPr>
                <w:noProof/>
                <w:webHidden/>
              </w:rPr>
              <w:fldChar w:fldCharType="separate"/>
            </w:r>
            <w:r>
              <w:rPr>
                <w:noProof/>
                <w:webHidden/>
              </w:rPr>
              <w:t>10</w:t>
            </w:r>
            <w:r>
              <w:rPr>
                <w:noProof/>
                <w:webHidden/>
              </w:rPr>
              <w:fldChar w:fldCharType="end"/>
            </w:r>
          </w:hyperlink>
        </w:p>
        <w:p w14:paraId="42E3F8C5" w14:textId="686EDFD3" w:rsidR="00960028" w:rsidRDefault="00960028">
          <w:pPr>
            <w:pStyle w:val="TOC1"/>
            <w:tabs>
              <w:tab w:val="right" w:leader="dot" w:pos="8630"/>
            </w:tabs>
            <w:rPr>
              <w:noProof/>
              <w:kern w:val="2"/>
              <w:sz w:val="24"/>
              <w:szCs w:val="24"/>
              <w:lang w:val="en-ZA" w:eastAsia="en-ZA"/>
              <w14:ligatures w14:val="standardContextual"/>
            </w:rPr>
          </w:pPr>
          <w:hyperlink w:anchor="_Toc217045477" w:history="1">
            <w:r w:rsidRPr="009E479A">
              <w:rPr>
                <w:rStyle w:val="Hyperlink"/>
                <w:rFonts w:asciiTheme="minorBidi" w:hAnsiTheme="minorBidi"/>
                <w:noProof/>
              </w:rPr>
              <w:t>3.5  Conclusion</w:t>
            </w:r>
            <w:r>
              <w:rPr>
                <w:noProof/>
                <w:webHidden/>
              </w:rPr>
              <w:tab/>
            </w:r>
            <w:r>
              <w:rPr>
                <w:noProof/>
                <w:webHidden/>
              </w:rPr>
              <w:fldChar w:fldCharType="begin"/>
            </w:r>
            <w:r>
              <w:rPr>
                <w:noProof/>
                <w:webHidden/>
              </w:rPr>
              <w:instrText xml:space="preserve"> PAGEREF _Toc217045477 \h </w:instrText>
            </w:r>
            <w:r>
              <w:rPr>
                <w:noProof/>
                <w:webHidden/>
              </w:rPr>
            </w:r>
            <w:r>
              <w:rPr>
                <w:noProof/>
                <w:webHidden/>
              </w:rPr>
              <w:fldChar w:fldCharType="separate"/>
            </w:r>
            <w:r>
              <w:rPr>
                <w:noProof/>
                <w:webHidden/>
              </w:rPr>
              <w:t>12</w:t>
            </w:r>
            <w:r>
              <w:rPr>
                <w:noProof/>
                <w:webHidden/>
              </w:rPr>
              <w:fldChar w:fldCharType="end"/>
            </w:r>
          </w:hyperlink>
        </w:p>
        <w:p w14:paraId="3ECB6BDE" w14:textId="52B8550D" w:rsidR="00960028" w:rsidRDefault="00960028">
          <w:pPr>
            <w:pStyle w:val="TOC1"/>
            <w:tabs>
              <w:tab w:val="right" w:leader="dot" w:pos="8630"/>
            </w:tabs>
            <w:rPr>
              <w:noProof/>
              <w:kern w:val="2"/>
              <w:sz w:val="24"/>
              <w:szCs w:val="24"/>
              <w:lang w:val="en-ZA" w:eastAsia="en-ZA"/>
              <w14:ligatures w14:val="standardContextual"/>
            </w:rPr>
          </w:pPr>
          <w:hyperlink w:anchor="_Toc217045478" w:history="1">
            <w:r w:rsidRPr="009E479A">
              <w:rPr>
                <w:rStyle w:val="Hyperlink"/>
                <w:rFonts w:asciiTheme="minorBidi" w:hAnsiTheme="minorBidi"/>
                <w:noProof/>
                <w:lang w:val="en-ZA"/>
              </w:rPr>
              <w:t>4:  Research Problem</w:t>
            </w:r>
            <w:r w:rsidRPr="009E479A">
              <w:rPr>
                <w:rStyle w:val="Hyperlink"/>
                <w:noProof/>
                <w:lang w:val="en-ZA"/>
              </w:rPr>
              <w:t>:</w:t>
            </w:r>
            <w:r>
              <w:rPr>
                <w:noProof/>
                <w:webHidden/>
              </w:rPr>
              <w:tab/>
            </w:r>
            <w:r>
              <w:rPr>
                <w:noProof/>
                <w:webHidden/>
              </w:rPr>
              <w:fldChar w:fldCharType="begin"/>
            </w:r>
            <w:r>
              <w:rPr>
                <w:noProof/>
                <w:webHidden/>
              </w:rPr>
              <w:instrText xml:space="preserve"> PAGEREF _Toc217045478 \h </w:instrText>
            </w:r>
            <w:r>
              <w:rPr>
                <w:noProof/>
                <w:webHidden/>
              </w:rPr>
            </w:r>
            <w:r>
              <w:rPr>
                <w:noProof/>
                <w:webHidden/>
              </w:rPr>
              <w:fldChar w:fldCharType="separate"/>
            </w:r>
            <w:r>
              <w:rPr>
                <w:noProof/>
                <w:webHidden/>
              </w:rPr>
              <w:t>12</w:t>
            </w:r>
            <w:r>
              <w:rPr>
                <w:noProof/>
                <w:webHidden/>
              </w:rPr>
              <w:fldChar w:fldCharType="end"/>
            </w:r>
          </w:hyperlink>
        </w:p>
        <w:p w14:paraId="1CF601D6" w14:textId="17E717B3" w:rsidR="00960028" w:rsidRDefault="00960028">
          <w:pPr>
            <w:pStyle w:val="TOC1"/>
            <w:tabs>
              <w:tab w:val="right" w:leader="dot" w:pos="8630"/>
            </w:tabs>
            <w:rPr>
              <w:noProof/>
              <w:kern w:val="2"/>
              <w:sz w:val="24"/>
              <w:szCs w:val="24"/>
              <w:lang w:val="en-ZA" w:eastAsia="en-ZA"/>
              <w14:ligatures w14:val="standardContextual"/>
            </w:rPr>
          </w:pPr>
          <w:hyperlink w:anchor="_Toc217045479" w:history="1">
            <w:r w:rsidRPr="009E479A">
              <w:rPr>
                <w:rStyle w:val="Hyperlink"/>
                <w:rFonts w:asciiTheme="minorBidi" w:hAnsiTheme="minorBidi"/>
                <w:noProof/>
                <w:lang w:val="en-ZA"/>
              </w:rPr>
              <w:t>6: Methodology</w:t>
            </w:r>
            <w:r>
              <w:rPr>
                <w:noProof/>
                <w:webHidden/>
              </w:rPr>
              <w:tab/>
            </w:r>
            <w:r>
              <w:rPr>
                <w:noProof/>
                <w:webHidden/>
              </w:rPr>
              <w:fldChar w:fldCharType="begin"/>
            </w:r>
            <w:r>
              <w:rPr>
                <w:noProof/>
                <w:webHidden/>
              </w:rPr>
              <w:instrText xml:space="preserve"> PAGEREF _Toc217045479 \h </w:instrText>
            </w:r>
            <w:r>
              <w:rPr>
                <w:noProof/>
                <w:webHidden/>
              </w:rPr>
            </w:r>
            <w:r>
              <w:rPr>
                <w:noProof/>
                <w:webHidden/>
              </w:rPr>
              <w:fldChar w:fldCharType="separate"/>
            </w:r>
            <w:r>
              <w:rPr>
                <w:noProof/>
                <w:webHidden/>
              </w:rPr>
              <w:t>13</w:t>
            </w:r>
            <w:r>
              <w:rPr>
                <w:noProof/>
                <w:webHidden/>
              </w:rPr>
              <w:fldChar w:fldCharType="end"/>
            </w:r>
          </w:hyperlink>
        </w:p>
        <w:p w14:paraId="24B12E95" w14:textId="60F6D615" w:rsidR="00960028" w:rsidRDefault="00960028">
          <w:pPr>
            <w:pStyle w:val="TOC1"/>
            <w:tabs>
              <w:tab w:val="right" w:leader="dot" w:pos="8630"/>
            </w:tabs>
            <w:rPr>
              <w:noProof/>
              <w:kern w:val="2"/>
              <w:sz w:val="24"/>
              <w:szCs w:val="24"/>
              <w:lang w:val="en-ZA" w:eastAsia="en-ZA"/>
              <w14:ligatures w14:val="standardContextual"/>
            </w:rPr>
          </w:pPr>
          <w:hyperlink w:anchor="_Toc217045480" w:history="1">
            <w:r w:rsidRPr="009E479A">
              <w:rPr>
                <w:rStyle w:val="Hyperlink"/>
                <w:rFonts w:asciiTheme="minorBidi" w:hAnsiTheme="minorBidi"/>
                <w:noProof/>
                <w:lang w:val="en-ZA"/>
              </w:rPr>
              <w:t>7:  Chapter Outline</w:t>
            </w:r>
            <w:r>
              <w:rPr>
                <w:noProof/>
                <w:webHidden/>
              </w:rPr>
              <w:tab/>
            </w:r>
            <w:r>
              <w:rPr>
                <w:noProof/>
                <w:webHidden/>
              </w:rPr>
              <w:fldChar w:fldCharType="begin"/>
            </w:r>
            <w:r>
              <w:rPr>
                <w:noProof/>
                <w:webHidden/>
              </w:rPr>
              <w:instrText xml:space="preserve"> PAGEREF _Toc217045480 \h </w:instrText>
            </w:r>
            <w:r>
              <w:rPr>
                <w:noProof/>
                <w:webHidden/>
              </w:rPr>
            </w:r>
            <w:r>
              <w:rPr>
                <w:noProof/>
                <w:webHidden/>
              </w:rPr>
              <w:fldChar w:fldCharType="separate"/>
            </w:r>
            <w:r>
              <w:rPr>
                <w:noProof/>
                <w:webHidden/>
              </w:rPr>
              <w:t>14</w:t>
            </w:r>
            <w:r>
              <w:rPr>
                <w:noProof/>
                <w:webHidden/>
              </w:rPr>
              <w:fldChar w:fldCharType="end"/>
            </w:r>
          </w:hyperlink>
        </w:p>
        <w:p w14:paraId="3C54DAAD" w14:textId="5C460035" w:rsidR="00960028" w:rsidRDefault="00960028">
          <w:pPr>
            <w:pStyle w:val="TOC1"/>
            <w:tabs>
              <w:tab w:val="right" w:leader="dot" w:pos="8630"/>
            </w:tabs>
            <w:rPr>
              <w:noProof/>
              <w:kern w:val="2"/>
              <w:sz w:val="24"/>
              <w:szCs w:val="24"/>
              <w:lang w:val="en-ZA" w:eastAsia="en-ZA"/>
              <w14:ligatures w14:val="standardContextual"/>
            </w:rPr>
          </w:pPr>
          <w:hyperlink w:anchor="_Toc217045481" w:history="1">
            <w:r w:rsidRPr="009E479A">
              <w:rPr>
                <w:rStyle w:val="Hyperlink"/>
                <w:rFonts w:asciiTheme="minorBidi" w:hAnsiTheme="minorBidi"/>
                <w:noProof/>
                <w:lang w:val="en-ZA"/>
              </w:rPr>
              <w:t>8: Workplan</w:t>
            </w:r>
            <w:r>
              <w:rPr>
                <w:noProof/>
                <w:webHidden/>
              </w:rPr>
              <w:tab/>
            </w:r>
            <w:r>
              <w:rPr>
                <w:noProof/>
                <w:webHidden/>
              </w:rPr>
              <w:fldChar w:fldCharType="begin"/>
            </w:r>
            <w:r>
              <w:rPr>
                <w:noProof/>
                <w:webHidden/>
              </w:rPr>
              <w:instrText xml:space="preserve"> PAGEREF _Toc217045481 \h </w:instrText>
            </w:r>
            <w:r>
              <w:rPr>
                <w:noProof/>
                <w:webHidden/>
              </w:rPr>
            </w:r>
            <w:r>
              <w:rPr>
                <w:noProof/>
                <w:webHidden/>
              </w:rPr>
              <w:fldChar w:fldCharType="separate"/>
            </w:r>
            <w:r>
              <w:rPr>
                <w:noProof/>
                <w:webHidden/>
              </w:rPr>
              <w:t>16</w:t>
            </w:r>
            <w:r>
              <w:rPr>
                <w:noProof/>
                <w:webHidden/>
              </w:rPr>
              <w:fldChar w:fldCharType="end"/>
            </w:r>
          </w:hyperlink>
        </w:p>
        <w:p w14:paraId="1E5602CE" w14:textId="2934A3B4" w:rsidR="00960028" w:rsidRDefault="00960028">
          <w:pPr>
            <w:pStyle w:val="TOC1"/>
            <w:tabs>
              <w:tab w:val="right" w:leader="dot" w:pos="8630"/>
            </w:tabs>
            <w:rPr>
              <w:noProof/>
              <w:kern w:val="2"/>
              <w:sz w:val="24"/>
              <w:szCs w:val="24"/>
              <w:lang w:val="en-ZA" w:eastAsia="en-ZA"/>
              <w14:ligatures w14:val="standardContextual"/>
            </w:rPr>
          </w:pPr>
          <w:hyperlink w:anchor="_Toc217045482" w:history="1">
            <w:r w:rsidRPr="009E479A">
              <w:rPr>
                <w:rStyle w:val="Hyperlink"/>
                <w:rFonts w:asciiTheme="minorBidi" w:hAnsiTheme="minorBidi"/>
                <w:noProof/>
                <w:lang w:val="en-ZA"/>
              </w:rPr>
              <w:t>9:  References</w:t>
            </w:r>
            <w:r>
              <w:rPr>
                <w:noProof/>
                <w:webHidden/>
              </w:rPr>
              <w:tab/>
            </w:r>
            <w:r>
              <w:rPr>
                <w:noProof/>
                <w:webHidden/>
              </w:rPr>
              <w:fldChar w:fldCharType="begin"/>
            </w:r>
            <w:r>
              <w:rPr>
                <w:noProof/>
                <w:webHidden/>
              </w:rPr>
              <w:instrText xml:space="preserve"> PAGEREF _Toc217045482 \h </w:instrText>
            </w:r>
            <w:r>
              <w:rPr>
                <w:noProof/>
                <w:webHidden/>
              </w:rPr>
            </w:r>
            <w:r>
              <w:rPr>
                <w:noProof/>
                <w:webHidden/>
              </w:rPr>
              <w:fldChar w:fldCharType="separate"/>
            </w:r>
            <w:r>
              <w:rPr>
                <w:noProof/>
                <w:webHidden/>
              </w:rPr>
              <w:t>16</w:t>
            </w:r>
            <w:r>
              <w:rPr>
                <w:noProof/>
                <w:webHidden/>
              </w:rPr>
              <w:fldChar w:fldCharType="end"/>
            </w:r>
          </w:hyperlink>
        </w:p>
        <w:p w14:paraId="4676E49D" w14:textId="64B65826" w:rsidR="00373AB1" w:rsidRDefault="00373AB1">
          <w:r>
            <w:rPr>
              <w:b/>
              <w:bCs/>
              <w:noProof/>
            </w:rPr>
            <w:fldChar w:fldCharType="end"/>
          </w:r>
        </w:p>
      </w:sdtContent>
    </w:sdt>
    <w:p w14:paraId="4838B35A" w14:textId="77777777" w:rsidR="00373AB1" w:rsidRDefault="00373AB1" w:rsidP="00FB7184">
      <w:pPr>
        <w:pStyle w:val="Heading1"/>
        <w:rPr>
          <w:rFonts w:asciiTheme="minorBidi" w:hAnsiTheme="minorBidi" w:cstheme="minorBidi"/>
          <w:color w:val="auto"/>
          <w:sz w:val="36"/>
          <w:szCs w:val="36"/>
        </w:rPr>
      </w:pPr>
    </w:p>
    <w:p w14:paraId="314BBBFE" w14:textId="77777777" w:rsidR="00960028" w:rsidRDefault="00960028" w:rsidP="00960028"/>
    <w:p w14:paraId="133C0EEF" w14:textId="77777777" w:rsidR="00960028" w:rsidRDefault="00960028" w:rsidP="00960028"/>
    <w:p w14:paraId="36626664" w14:textId="77777777" w:rsidR="00960028" w:rsidRDefault="00960028" w:rsidP="00960028"/>
    <w:p w14:paraId="6216B850" w14:textId="77777777" w:rsidR="00960028" w:rsidRDefault="00960028" w:rsidP="00960028"/>
    <w:p w14:paraId="2AB402CC" w14:textId="77777777" w:rsidR="00960028" w:rsidRDefault="00960028" w:rsidP="00960028"/>
    <w:p w14:paraId="2FD48D8A" w14:textId="77777777" w:rsidR="00960028" w:rsidRPr="00960028" w:rsidRDefault="00960028" w:rsidP="00960028"/>
    <w:p w14:paraId="0D37B127" w14:textId="29CA129C" w:rsidR="00FB7184" w:rsidRPr="00517EC4" w:rsidRDefault="00FB7184" w:rsidP="00FB7184">
      <w:pPr>
        <w:pStyle w:val="Heading1"/>
        <w:rPr>
          <w:rFonts w:asciiTheme="minorBidi" w:hAnsiTheme="minorBidi" w:cstheme="minorBidi"/>
          <w:color w:val="auto"/>
          <w:sz w:val="36"/>
          <w:szCs w:val="36"/>
        </w:rPr>
      </w:pPr>
      <w:bookmarkStart w:id="1" w:name="_Toc217045468"/>
      <w:r w:rsidRPr="00960028">
        <w:rPr>
          <w:rFonts w:asciiTheme="minorBidi" w:hAnsiTheme="minorBidi" w:cstheme="minorBidi"/>
          <w:color w:val="auto"/>
        </w:rPr>
        <w:lastRenderedPageBreak/>
        <w:t>Continuous Compliance for Adaptive Devices: Regulatory Readiness and Post-Market Surveillance of SaMD and AIaMD in South Africa and the European Unio</w:t>
      </w:r>
      <w:r w:rsidRPr="00517EC4">
        <w:rPr>
          <w:rFonts w:asciiTheme="minorBidi" w:hAnsiTheme="minorBidi" w:cstheme="minorBidi"/>
          <w:color w:val="auto"/>
          <w:sz w:val="36"/>
          <w:szCs w:val="36"/>
        </w:rPr>
        <w:t>n</w:t>
      </w:r>
      <w:bookmarkEnd w:id="1"/>
    </w:p>
    <w:p w14:paraId="570CDF9A" w14:textId="4C199A0D" w:rsidR="00714A8B" w:rsidRPr="00960028" w:rsidRDefault="00714A8B" w:rsidP="00FB7184">
      <w:pPr>
        <w:pStyle w:val="Heading1"/>
        <w:rPr>
          <w:rFonts w:asciiTheme="minorBidi" w:hAnsiTheme="minorBidi" w:cstheme="minorBidi"/>
          <w:color w:val="auto"/>
        </w:rPr>
      </w:pPr>
      <w:bookmarkStart w:id="2" w:name="_Toc217045469"/>
      <w:r w:rsidRPr="00960028">
        <w:rPr>
          <w:rFonts w:asciiTheme="minorBidi" w:hAnsiTheme="minorBidi" w:cstheme="minorBidi"/>
          <w:color w:val="auto"/>
        </w:rPr>
        <w:t>1 Introduction</w:t>
      </w:r>
      <w:bookmarkEnd w:id="2"/>
    </w:p>
    <w:p w14:paraId="1174D759" w14:textId="77777777" w:rsidR="008A4FF1" w:rsidRPr="00517EC4" w:rsidRDefault="008A4FF1" w:rsidP="008A4FF1">
      <w:pPr>
        <w:rPr>
          <w:rFonts w:asciiTheme="minorBidi" w:hAnsiTheme="minorBidi"/>
        </w:rPr>
      </w:pPr>
    </w:p>
    <w:p w14:paraId="123EA9E1" w14:textId="0BE4125C" w:rsidR="0071364F" w:rsidRPr="0071364F" w:rsidRDefault="0071364F" w:rsidP="0071364F">
      <w:pPr>
        <w:ind w:left="720"/>
        <w:rPr>
          <w:rFonts w:asciiTheme="minorBidi" w:hAnsiTheme="minorBidi"/>
          <w:color w:val="000000" w:themeColor="text1"/>
          <w:lang w:val="en-ZA"/>
        </w:rPr>
      </w:pPr>
      <w:r>
        <w:rPr>
          <w:rFonts w:asciiTheme="minorBidi" w:hAnsiTheme="minorBidi"/>
          <w:color w:val="EE0000"/>
          <w:lang w:val="en-ZA"/>
        </w:rPr>
        <w:br/>
      </w:r>
      <w:r w:rsidRPr="0071364F">
        <w:rPr>
          <w:rFonts w:asciiTheme="minorBidi" w:hAnsiTheme="minorBidi"/>
          <w:color w:val="000000" w:themeColor="text1"/>
          <w:lang w:val="en-ZA"/>
        </w:rPr>
        <w:t>Artificial Intelligence (AI) represents a new frontier in healthcare, offering the potential to improve healthcare delivery across geographic and socio-economic boundaries. While medical expertise has historically been a costly resource, AI may enable broader access to high-quality diagnostics.</w:t>
      </w:r>
    </w:p>
    <w:p w14:paraId="0A786EEB" w14:textId="02778CE2" w:rsidR="0071364F" w:rsidRPr="0071364F" w:rsidRDefault="0071364F" w:rsidP="0071364F">
      <w:pPr>
        <w:ind w:left="720"/>
        <w:rPr>
          <w:rFonts w:asciiTheme="minorBidi" w:hAnsiTheme="minorBidi"/>
          <w:color w:val="000000" w:themeColor="text1"/>
          <w:lang w:val="en-ZA"/>
        </w:rPr>
      </w:pPr>
      <w:r w:rsidRPr="0071364F">
        <w:rPr>
          <w:rFonts w:asciiTheme="minorBidi" w:hAnsiTheme="minorBidi"/>
          <w:color w:val="000000" w:themeColor="text1"/>
          <w:lang w:val="en-ZA"/>
        </w:rPr>
        <w:t xml:space="preserve">Progress in medical care has traditionally followed technological development. The introduction of software into healthcare is no exception. Initially, software served as administrative support and automated </w:t>
      </w:r>
      <w:r w:rsidR="00E94A8A">
        <w:rPr>
          <w:rFonts w:asciiTheme="minorBidi" w:hAnsiTheme="minorBidi"/>
          <w:color w:val="000000" w:themeColor="text1"/>
          <w:lang w:val="en-ZA"/>
        </w:rPr>
        <w:t>specific</w:t>
      </w:r>
      <w:r w:rsidRPr="0071364F">
        <w:rPr>
          <w:rFonts w:asciiTheme="minorBidi" w:hAnsiTheme="minorBidi"/>
          <w:color w:val="000000" w:themeColor="text1"/>
          <w:lang w:val="en-ZA"/>
        </w:rPr>
        <w:t xml:space="preserve"> tasks. With more powerful microprocessors and advances in algorithmic learning, especially the shift from supervised to adaptive learning, software has evolved from automating simple tasks to providing clinical interventions.</w:t>
      </w:r>
    </w:p>
    <w:p w14:paraId="13BF44F7" w14:textId="498491B4" w:rsidR="0071364F" w:rsidRPr="0071364F" w:rsidRDefault="0071364F" w:rsidP="0071364F">
      <w:pPr>
        <w:ind w:left="720"/>
        <w:rPr>
          <w:rFonts w:asciiTheme="minorBidi" w:hAnsiTheme="minorBidi"/>
          <w:color w:val="000000" w:themeColor="text1"/>
          <w:lang w:val="en-ZA"/>
        </w:rPr>
      </w:pPr>
      <w:r w:rsidRPr="0071364F">
        <w:rPr>
          <w:rFonts w:asciiTheme="minorBidi" w:hAnsiTheme="minorBidi"/>
          <w:color w:val="000000" w:themeColor="text1"/>
          <w:lang w:val="en-ZA"/>
        </w:rPr>
        <w:t>This progression is clear with</w:t>
      </w:r>
      <w:r w:rsidR="00E5096A">
        <w:rPr>
          <w:rFonts w:asciiTheme="minorBidi" w:hAnsiTheme="minorBidi"/>
          <w:color w:val="000000" w:themeColor="text1"/>
          <w:lang w:val="en-ZA"/>
        </w:rPr>
        <w:t xml:space="preserve"> </w:t>
      </w:r>
      <w:r w:rsidR="00E5096A">
        <w:rPr>
          <w:rFonts w:asciiTheme="minorBidi" w:hAnsiTheme="minorBidi"/>
          <w:color w:val="000000" w:themeColor="text1"/>
          <w:lang w:val="en-ZA"/>
        </w:rPr>
        <w:fldChar w:fldCharType="begin"/>
      </w:r>
      <w:r w:rsidR="00E5096A">
        <w:rPr>
          <w:rFonts w:asciiTheme="minorBidi" w:hAnsiTheme="minorBidi"/>
          <w:color w:val="000000" w:themeColor="text1"/>
          <w:lang w:val="en-ZA"/>
        </w:rPr>
        <w:instrText xml:space="preserve"> NOTEREF _Ref216016699 \h </w:instrText>
      </w:r>
      <w:r w:rsidR="00E5096A">
        <w:rPr>
          <w:rFonts w:asciiTheme="minorBidi" w:hAnsiTheme="minorBidi"/>
          <w:color w:val="000000" w:themeColor="text1"/>
          <w:lang w:val="en-ZA"/>
        </w:rPr>
      </w:r>
      <w:r w:rsidR="00E5096A">
        <w:rPr>
          <w:rFonts w:asciiTheme="minorBidi" w:hAnsiTheme="minorBidi"/>
          <w:color w:val="000000" w:themeColor="text1"/>
          <w:lang w:val="en-ZA"/>
        </w:rPr>
        <w:fldChar w:fldCharType="separate"/>
      </w:r>
      <w:r w:rsidR="00E5096A">
        <w:rPr>
          <w:rFonts w:asciiTheme="minorBidi" w:hAnsiTheme="minorBidi"/>
          <w:color w:val="000000" w:themeColor="text1"/>
          <w:lang w:val="en-ZA"/>
        </w:rPr>
        <w:t>1</w:t>
      </w:r>
      <w:r w:rsidR="00E5096A">
        <w:rPr>
          <w:rFonts w:asciiTheme="minorBidi" w:hAnsiTheme="minorBidi"/>
          <w:color w:val="000000" w:themeColor="text1"/>
          <w:lang w:val="en-ZA"/>
        </w:rPr>
        <w:fldChar w:fldCharType="end"/>
      </w:r>
      <w:r w:rsidR="00E5096A">
        <w:rPr>
          <w:rFonts w:asciiTheme="minorBidi" w:hAnsiTheme="minorBidi"/>
          <w:color w:val="000000" w:themeColor="text1"/>
          <w:lang w:val="en-ZA"/>
        </w:rPr>
        <w:t xml:space="preserve"> </w:t>
      </w:r>
      <w:r w:rsidRPr="0071364F">
        <w:rPr>
          <w:rFonts w:asciiTheme="minorBidi" w:hAnsiTheme="minorBidi"/>
          <w:color w:val="000000" w:themeColor="text1"/>
          <w:lang w:val="en-ZA"/>
        </w:rPr>
        <w:t>Software as a Medical Device (SaMD), where software began performing medical functions such as dosage calculations or symptom tracking.</w:t>
      </w:r>
      <w:r w:rsidR="00667ED0">
        <w:rPr>
          <w:rFonts w:asciiTheme="minorBidi" w:hAnsiTheme="minorBidi"/>
          <w:color w:val="000000" w:themeColor="text1"/>
          <w:lang w:val="en-ZA"/>
        </w:rPr>
        <w:t xml:space="preserve"> </w:t>
      </w:r>
      <w:r w:rsidRPr="0071364F">
        <w:rPr>
          <w:rFonts w:asciiTheme="minorBidi" w:hAnsiTheme="minorBidi"/>
          <w:color w:val="000000" w:themeColor="text1"/>
          <w:lang w:val="en-ZA"/>
        </w:rPr>
        <w:t>Early SaMD interventions were based on deterministic algorithms.</w:t>
      </w:r>
      <w:r w:rsidR="00667ED0">
        <w:rPr>
          <w:rFonts w:asciiTheme="minorBidi" w:hAnsiTheme="minorBidi"/>
          <w:color w:val="000000" w:themeColor="text1"/>
          <w:lang w:val="en-ZA"/>
        </w:rPr>
        <w:t xml:space="preserve"> </w:t>
      </w:r>
      <w:r w:rsidR="00E94A8A">
        <w:rPr>
          <w:rFonts w:asciiTheme="minorBidi" w:hAnsiTheme="minorBidi"/>
          <w:color w:val="000000" w:themeColor="text1"/>
          <w:lang w:val="en-ZA"/>
        </w:rPr>
        <w:t>For example</w:t>
      </w:r>
      <w:r w:rsidRPr="0071364F">
        <w:rPr>
          <w:rFonts w:asciiTheme="minorBidi" w:hAnsiTheme="minorBidi"/>
          <w:color w:val="000000" w:themeColor="text1"/>
          <w:lang w:val="en-ZA"/>
        </w:rPr>
        <w:t xml:space="preserve">, optimizing insulin dosage based on blood sugar is a fixed logical process (if X, then Y). Optimizing the amount of insulin dispensed </w:t>
      </w:r>
      <w:r w:rsidR="00E94A8A">
        <w:rPr>
          <w:rFonts w:asciiTheme="minorBidi" w:hAnsiTheme="minorBidi"/>
          <w:color w:val="000000" w:themeColor="text1"/>
          <w:lang w:val="en-ZA"/>
        </w:rPr>
        <w:t>based on the detected blood sugar is well understood</w:t>
      </w:r>
      <w:r w:rsidRPr="0071364F">
        <w:rPr>
          <w:rFonts w:asciiTheme="minorBidi" w:hAnsiTheme="minorBidi"/>
          <w:color w:val="000000" w:themeColor="text1"/>
          <w:lang w:val="en-ZA"/>
        </w:rPr>
        <w:t>.</w:t>
      </w:r>
      <w:r w:rsidR="00667ED0">
        <w:rPr>
          <w:rFonts w:asciiTheme="minorBidi" w:hAnsiTheme="minorBidi"/>
          <w:color w:val="000000" w:themeColor="text1"/>
          <w:lang w:val="en-ZA"/>
        </w:rPr>
        <w:t xml:space="preserve"> </w:t>
      </w:r>
      <w:r w:rsidRPr="0071364F">
        <w:rPr>
          <w:rFonts w:asciiTheme="minorBidi" w:hAnsiTheme="minorBidi"/>
          <w:color w:val="000000" w:themeColor="text1"/>
          <w:lang w:val="en-ZA"/>
        </w:rPr>
        <w:t>However, the recent development of Artificial Intelligence as a Medical Device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represents a paradigm shift.</w:t>
      </w:r>
      <w:r w:rsidR="00667ED0">
        <w:rPr>
          <w:rFonts w:asciiTheme="minorBidi" w:hAnsiTheme="minorBidi"/>
          <w:color w:val="000000" w:themeColor="text1"/>
          <w:lang w:val="en-ZA"/>
        </w:rPr>
        <w:t xml:space="preserve"> </w:t>
      </w:r>
      <w:r w:rsidRPr="0071364F">
        <w:rPr>
          <w:rFonts w:asciiTheme="minorBidi" w:hAnsiTheme="minorBidi"/>
          <w:color w:val="000000" w:themeColor="text1"/>
          <w:lang w:val="en-ZA"/>
        </w:rPr>
        <w:t xml:space="preserve">Unlike traditional SaMD, which relies on static code and supervised learning,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xml:space="preserve"> uses probabilistic and adaptive learning. It does not just execute pre-programmed rules; it infers patterns from data and can learn and evolve post-deployment.</w:t>
      </w:r>
    </w:p>
    <w:p w14:paraId="0DDC6770" w14:textId="77777777" w:rsidR="0071364F" w:rsidRPr="0071364F" w:rsidRDefault="0071364F" w:rsidP="0071364F">
      <w:pPr>
        <w:ind w:left="720"/>
        <w:rPr>
          <w:rFonts w:asciiTheme="minorBidi" w:hAnsiTheme="minorBidi"/>
          <w:color w:val="000000" w:themeColor="text1"/>
          <w:lang w:val="en-ZA"/>
        </w:rPr>
      </w:pPr>
      <w:r w:rsidRPr="0071364F">
        <w:rPr>
          <w:rFonts w:asciiTheme="minorBidi" w:hAnsiTheme="minorBidi"/>
          <w:color w:val="000000" w:themeColor="text1"/>
          <w:lang w:val="en-ZA"/>
        </w:rPr>
        <w:t xml:space="preserve">Healthcare regulations have historically evolved in response to challenges. At the turn of the century, medical devices were unregulated worldwide, leading to significant harm to patients. Regulations have always </w:t>
      </w:r>
      <w:proofErr w:type="gramStart"/>
      <w:r w:rsidRPr="0071364F">
        <w:rPr>
          <w:rFonts w:asciiTheme="minorBidi" w:hAnsiTheme="minorBidi"/>
          <w:color w:val="000000" w:themeColor="text1"/>
          <w:lang w:val="en-ZA"/>
        </w:rPr>
        <w:t>lagged behind</w:t>
      </w:r>
      <w:proofErr w:type="gramEnd"/>
      <w:r w:rsidRPr="0071364F">
        <w:rPr>
          <w:rFonts w:asciiTheme="minorBidi" w:hAnsiTheme="minorBidi"/>
          <w:color w:val="000000" w:themeColor="text1"/>
          <w:lang w:val="en-ZA"/>
        </w:rPr>
        <w:t xml:space="preserve"> progress, and new risks are inevitable with advancement. This is also true for adaptive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AI model drift introduces a new risk that challenges the foundational assumptions of medical device regulation. This risk is best illustrated with a clinical example:</w:t>
      </w:r>
    </w:p>
    <w:p w14:paraId="49F13B25" w14:textId="2A275BEA" w:rsidR="0071364F" w:rsidRPr="0071364F" w:rsidRDefault="0071364F" w:rsidP="0071364F">
      <w:pPr>
        <w:ind w:left="720"/>
        <w:rPr>
          <w:rFonts w:asciiTheme="minorBidi" w:hAnsiTheme="minorBidi"/>
          <w:color w:val="000000" w:themeColor="text1"/>
          <w:lang w:val="en-ZA"/>
        </w:rPr>
      </w:pPr>
      <w:r w:rsidRPr="0071364F">
        <w:rPr>
          <w:rFonts w:asciiTheme="minorBidi" w:hAnsiTheme="minorBidi"/>
          <w:color w:val="000000" w:themeColor="text1"/>
          <w:lang w:val="en-ZA"/>
        </w:rPr>
        <w:t>“It’s Monday</w:t>
      </w:r>
      <w:r w:rsidR="00E94A8A">
        <w:rPr>
          <w:rFonts w:asciiTheme="minorBidi" w:hAnsiTheme="minorBidi"/>
          <w:color w:val="000000" w:themeColor="text1"/>
          <w:lang w:val="en-ZA"/>
        </w:rPr>
        <w:t xml:space="preserve">, 07 January 2026, and </w:t>
      </w:r>
      <w:r w:rsidRPr="0071364F">
        <w:rPr>
          <w:rFonts w:asciiTheme="minorBidi" w:hAnsiTheme="minorBidi"/>
          <w:color w:val="000000" w:themeColor="text1"/>
          <w:lang w:val="en-ZA"/>
        </w:rPr>
        <w:t>a community services doctor in a rural clinic is not sure about a skin lesion she’s looking at. She opens an app on her phone for assistance</w:t>
      </w:r>
      <w:r w:rsidR="00E94A8A">
        <w:rPr>
          <w:rFonts w:asciiTheme="minorBidi" w:hAnsiTheme="minorBidi"/>
          <w:color w:val="000000" w:themeColor="text1"/>
          <w:lang w:val="en-ZA"/>
        </w:rPr>
        <w:t>. The app confirms her suspicion, and she writes a referral to</w:t>
      </w:r>
      <w:r w:rsidRPr="0071364F">
        <w:rPr>
          <w:rFonts w:asciiTheme="minorBidi" w:hAnsiTheme="minorBidi"/>
          <w:color w:val="000000" w:themeColor="text1"/>
          <w:lang w:val="en-ZA"/>
        </w:rPr>
        <w:t xml:space="preserve"> a tertiary hospital. That same day at another hospital, mothers in the labour ward </w:t>
      </w:r>
      <w:r w:rsidRPr="0071364F">
        <w:rPr>
          <w:rFonts w:asciiTheme="minorBidi" w:hAnsiTheme="minorBidi"/>
          <w:color w:val="000000" w:themeColor="text1"/>
          <w:lang w:val="en-ZA"/>
        </w:rPr>
        <w:lastRenderedPageBreak/>
        <w:t>are hooked up to foetal monitoring devices, an intern doctor busy elsewhere in the ward is alerted by an app on her phone that one of the babies is showing foetal distress, she acts quickly to arrange a Caesarean section.”</w:t>
      </w:r>
    </w:p>
    <w:p w14:paraId="56A6AC3E" w14:textId="66F9486B" w:rsidR="0071364F" w:rsidRPr="0071364F" w:rsidRDefault="0071364F" w:rsidP="0071364F">
      <w:pPr>
        <w:ind w:left="720"/>
        <w:rPr>
          <w:rFonts w:asciiTheme="minorBidi" w:hAnsiTheme="minorBidi"/>
          <w:color w:val="000000" w:themeColor="text1"/>
          <w:lang w:val="en-ZA"/>
        </w:rPr>
      </w:pPr>
      <w:r w:rsidRPr="0071364F">
        <w:rPr>
          <w:rFonts w:asciiTheme="minorBidi" w:hAnsiTheme="minorBidi"/>
          <w:color w:val="000000" w:themeColor="text1"/>
          <w:lang w:val="en-ZA"/>
        </w:rPr>
        <w:t xml:space="preserve">The vignette above describes the world we want, where technological progress leads to better patient care. However, the adaptive nature of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xml:space="preserve"> complicates this. It is not easy to ensure that digital health apps work as intended. The community doctor may use the app on a Monday, but by that Friday</w:t>
      </w:r>
      <w:r w:rsidR="00E94A8A">
        <w:rPr>
          <w:rFonts w:asciiTheme="minorBidi" w:hAnsiTheme="minorBidi"/>
          <w:color w:val="000000" w:themeColor="text1"/>
          <w:lang w:val="en-ZA"/>
        </w:rPr>
        <w:t>,</w:t>
      </w:r>
      <w:r w:rsidRPr="0071364F">
        <w:rPr>
          <w:rFonts w:asciiTheme="minorBidi" w:hAnsiTheme="minorBidi"/>
          <w:color w:val="000000" w:themeColor="text1"/>
          <w:lang w:val="en-ZA"/>
        </w:rPr>
        <w:t xml:space="preserve"> the code base could have been updated twice. Developers may be confident these updates improve accuracy, yet no regulator has reviewed the changes to confirm the app still works as intended.</w:t>
      </w:r>
    </w:p>
    <w:p w14:paraId="47DA44A4" w14:textId="58861EC4" w:rsidR="0071364F" w:rsidRPr="0071364F" w:rsidRDefault="0071364F" w:rsidP="0071364F">
      <w:pPr>
        <w:ind w:left="720"/>
        <w:rPr>
          <w:rFonts w:asciiTheme="minorBidi" w:hAnsiTheme="minorBidi"/>
          <w:color w:val="000000" w:themeColor="text1"/>
          <w:lang w:val="en-ZA"/>
        </w:rPr>
      </w:pPr>
      <w:r w:rsidRPr="0071364F">
        <w:rPr>
          <w:rFonts w:asciiTheme="minorBidi" w:hAnsiTheme="minorBidi"/>
          <w:color w:val="000000" w:themeColor="text1"/>
          <w:lang w:val="en-ZA"/>
        </w:rPr>
        <w:t xml:space="preserve">A significant challenge for South African regulators may not be a lack of legislation, but operational misalignment. Ethics and regulations follow scientific advancement, and regulatory philosophy has evolved to manage the lifecycle of pharmaceuticals and, more recently, static hardware. This risk has been static, with most </w:t>
      </w:r>
      <w:r w:rsidR="00667ED0">
        <w:rPr>
          <w:rFonts w:asciiTheme="minorBidi" w:hAnsiTheme="minorBidi"/>
          <w:color w:val="000000" w:themeColor="text1"/>
          <w:lang w:val="en-ZA"/>
        </w:rPr>
        <w:t>regulations</w:t>
      </w:r>
      <w:r w:rsidRPr="0071364F">
        <w:rPr>
          <w:rFonts w:asciiTheme="minorBidi" w:hAnsiTheme="minorBidi"/>
          <w:color w:val="000000" w:themeColor="text1"/>
          <w:lang w:val="en-ZA"/>
        </w:rPr>
        <w:t xml:space="preserve"> focused on the approval process. The 'test-once, approve-once' approach is fundamentally at odds with the dynamic nature of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xml:space="preserve">, where risk can emerge continuously through model drift and adaptive learning. This study examines whether, despite legal definitions aligning with global standards, there is sufficient capacity to operationalise life-cycle compliance. Addressing these novel risks requires more than updated legal definitions and regulations; it will require a novel kind of oversight.  The regulator’s role expands from a one-time approver with only passive oversight to a continuous presence within the clinical practice. </w:t>
      </w:r>
    </w:p>
    <w:p w14:paraId="0EDA0E32" w14:textId="3106F393" w:rsidR="0071364F" w:rsidRPr="0071364F" w:rsidRDefault="0071364F" w:rsidP="0071364F">
      <w:pPr>
        <w:ind w:left="720"/>
        <w:rPr>
          <w:rFonts w:asciiTheme="minorBidi" w:hAnsiTheme="minorBidi"/>
          <w:color w:val="000000" w:themeColor="text1"/>
          <w:lang w:val="en-ZA"/>
        </w:rPr>
      </w:pPr>
      <w:r w:rsidRPr="0071364F">
        <w:rPr>
          <w:rFonts w:asciiTheme="minorBidi" w:hAnsiTheme="minorBidi"/>
          <w:color w:val="000000" w:themeColor="text1"/>
          <w:lang w:val="en-ZA"/>
        </w:rPr>
        <w:t xml:space="preserve">The pressure on post-market surveillance within regulatory affairs is not unique to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xml:space="preserve">. New biological interventions such as CRISPR-based therapies raise similar challenges for a test-once, approve-once paradigm: at the time of approval, there is often simply not enough long-term safety data to be confident about rare or delayed side effects. </w:t>
      </w:r>
      <w:r w:rsidR="00E5096A">
        <w:rPr>
          <w:rStyle w:val="FootnoteReference"/>
          <w:rFonts w:asciiTheme="minorBidi" w:hAnsiTheme="minorBidi"/>
          <w:color w:val="000000" w:themeColor="text1"/>
          <w:lang w:val="en-ZA"/>
        </w:rPr>
        <w:footnoteReference w:id="1"/>
      </w:r>
      <w:r w:rsidRPr="0071364F">
        <w:rPr>
          <w:rFonts w:asciiTheme="minorBidi" w:hAnsiTheme="minorBidi"/>
          <w:color w:val="000000" w:themeColor="text1"/>
          <w:lang w:val="en-ZA"/>
        </w:rPr>
        <w:t xml:space="preserve">In practice, much of the evidence about </w:t>
      </w:r>
      <w:r w:rsidRPr="0071364F">
        <w:rPr>
          <w:rFonts w:asciiTheme="minorBidi" w:hAnsiTheme="minorBidi"/>
          <w:color w:val="000000" w:themeColor="text1"/>
          <w:lang w:val="en-ZA"/>
        </w:rPr>
        <w:lastRenderedPageBreak/>
        <w:t>safety and effectiveness is accrued in vivo, as patients are treated over time, and “safety hours” accumulate in the real world rather than in pre-market trials. This reinforces the need to reconceive post-market surveillance as a central, rather than peripheral, aspect of regulatory oversight. We see that what is needed is a fundamental shift in regulatory philosophy: pivoting from 'gatekeeping', the assumption that safety is a static property proved at a single point in time, to stewardship, where safety is recognised as a dynamic property that must be continuously monitored.</w:t>
      </w:r>
    </w:p>
    <w:p w14:paraId="707882A6" w14:textId="2C572DE1" w:rsidR="0071364F" w:rsidRDefault="0071364F" w:rsidP="0071364F">
      <w:pPr>
        <w:ind w:left="720"/>
        <w:rPr>
          <w:rFonts w:asciiTheme="minorBidi" w:hAnsiTheme="minorBidi"/>
          <w:color w:val="000000" w:themeColor="text1"/>
          <w:lang w:val="en-ZA"/>
        </w:rPr>
      </w:pPr>
      <w:r w:rsidRPr="0071364F">
        <w:rPr>
          <w:rFonts w:asciiTheme="minorBidi" w:hAnsiTheme="minorBidi"/>
          <w:color w:val="000000" w:themeColor="text1"/>
          <w:lang w:val="en-ZA"/>
        </w:rPr>
        <w:t xml:space="preserve">While issues of algorithmic bias and fairness in AI are important and are extensively discussed in the existing literature, they are not the primary focus of this dissertation. Bias may affect the safety and effectiveness of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xml:space="preserve">, but it does not, by itself, pose the same institutional challenge as technologies whose performance can evolve after approval. The </w:t>
      </w:r>
      <w:r w:rsidR="00E5096A">
        <w:rPr>
          <w:rFonts w:asciiTheme="minorBidi" w:hAnsiTheme="minorBidi"/>
          <w:color w:val="000000" w:themeColor="text1"/>
          <w:lang w:val="en-ZA"/>
        </w:rPr>
        <w:t>thesis</w:t>
      </w:r>
      <w:r w:rsidR="00667ED0">
        <w:rPr>
          <w:rFonts w:asciiTheme="minorBidi" w:hAnsiTheme="minorBidi"/>
          <w:color w:val="000000" w:themeColor="text1"/>
          <w:lang w:val="en-ZA"/>
        </w:rPr>
        <w:t>,</w:t>
      </w:r>
      <w:r w:rsidR="00E5096A">
        <w:rPr>
          <w:rFonts w:asciiTheme="minorBidi" w:hAnsiTheme="minorBidi"/>
          <w:color w:val="000000" w:themeColor="text1"/>
          <w:lang w:val="en-ZA"/>
        </w:rPr>
        <w:t xml:space="preserve"> </w:t>
      </w:r>
      <w:r w:rsidRPr="0071364F">
        <w:rPr>
          <w:rFonts w:asciiTheme="minorBidi" w:hAnsiTheme="minorBidi"/>
          <w:color w:val="000000" w:themeColor="text1"/>
          <w:lang w:val="en-ZA"/>
        </w:rPr>
        <w:t>therefore, concentrates on model drift and other forms of post-deployment change, which directly raise questions about post-market surveillance and continuous compliance.</w:t>
      </w:r>
    </w:p>
    <w:p w14:paraId="3883431D" w14:textId="77777777" w:rsidR="00E5096A" w:rsidRPr="0071364F" w:rsidRDefault="00E5096A" w:rsidP="0071364F">
      <w:pPr>
        <w:ind w:left="720"/>
        <w:rPr>
          <w:rFonts w:asciiTheme="minorBidi" w:hAnsiTheme="minorBidi"/>
          <w:color w:val="000000" w:themeColor="text1"/>
          <w:lang w:val="en-ZA"/>
        </w:rPr>
      </w:pPr>
    </w:p>
    <w:p w14:paraId="10959063" w14:textId="77777777" w:rsidR="00E5096A" w:rsidRPr="00960028" w:rsidRDefault="00CB3F6C" w:rsidP="00E5096A">
      <w:pPr>
        <w:rPr>
          <w:rFonts w:asciiTheme="minorBidi" w:hAnsiTheme="minorBidi"/>
          <w:b/>
          <w:bCs/>
          <w:sz w:val="28"/>
          <w:szCs w:val="28"/>
          <w:lang w:val="en-ZA"/>
        </w:rPr>
      </w:pPr>
      <w:r w:rsidRPr="00960028">
        <w:rPr>
          <w:rFonts w:asciiTheme="minorBidi" w:hAnsiTheme="minorBidi"/>
          <w:b/>
          <w:bCs/>
          <w:sz w:val="28"/>
          <w:szCs w:val="28"/>
          <w:lang w:val="en-ZA"/>
        </w:rPr>
        <w:t xml:space="preserve">2.  Purpose of this thesis: </w:t>
      </w:r>
    </w:p>
    <w:p w14:paraId="11024C75" w14:textId="045C161A" w:rsidR="00E5096A" w:rsidRPr="0071364F" w:rsidRDefault="00E5096A" w:rsidP="00E5096A">
      <w:pPr>
        <w:ind w:left="720"/>
        <w:rPr>
          <w:rFonts w:asciiTheme="minorBidi" w:hAnsiTheme="minorBidi"/>
          <w:color w:val="000000" w:themeColor="text1"/>
          <w:lang w:val="en-ZA"/>
        </w:rPr>
      </w:pPr>
      <w:r w:rsidRPr="0071364F">
        <w:rPr>
          <w:rFonts w:asciiTheme="minorBidi" w:hAnsiTheme="minorBidi"/>
          <w:color w:val="000000" w:themeColor="text1"/>
          <w:lang w:val="en-ZA"/>
        </w:rPr>
        <w:t>This research is timely as digital health innovation continues to gain momentum worldwide. The purpose of this thesis is to evaluate the operational readiness of South Africa’s regulatory framework to manage the dynamic risks of Artificial Intelligence as a Medical Device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As digital health innovation accelerates, the traditional point-in-time or "test-once, approve-once" model</w:t>
      </w:r>
      <w:r w:rsidR="00E94A8A">
        <w:rPr>
          <w:rFonts w:asciiTheme="minorBidi" w:hAnsiTheme="minorBidi"/>
          <w:color w:val="000000" w:themeColor="text1"/>
          <w:lang w:val="en-ZA"/>
        </w:rPr>
        <w:t>,</w:t>
      </w:r>
      <w:r w:rsidRPr="0071364F">
        <w:rPr>
          <w:rFonts w:asciiTheme="minorBidi" w:hAnsiTheme="minorBidi"/>
          <w:color w:val="000000" w:themeColor="text1"/>
          <w:lang w:val="en-ZA"/>
        </w:rPr>
        <w:t xml:space="preserve"> which was developed primarily for pharmaceutical interventions, is insufficient for healthcare technologies that require life-cycle management. Therefore, this study aims to ascertain whether South Africa’s current legal framework can support a model of continuous compliance and lifecycle management.</w:t>
      </w:r>
    </w:p>
    <w:p w14:paraId="33410533" w14:textId="77777777" w:rsidR="00E5096A" w:rsidRPr="0071364F" w:rsidRDefault="00E5096A" w:rsidP="00E5096A">
      <w:pPr>
        <w:ind w:left="720"/>
        <w:rPr>
          <w:rFonts w:asciiTheme="minorBidi" w:hAnsiTheme="minorBidi"/>
          <w:color w:val="000000" w:themeColor="text1"/>
          <w:lang w:val="en-ZA"/>
        </w:rPr>
      </w:pPr>
      <w:r w:rsidRPr="0071364F">
        <w:rPr>
          <w:rFonts w:asciiTheme="minorBidi" w:hAnsiTheme="minorBidi"/>
          <w:color w:val="000000" w:themeColor="text1"/>
          <w:lang w:val="en-ZA"/>
        </w:rPr>
        <w:t>The thesis will pursue three objectives:</w:t>
      </w:r>
    </w:p>
    <w:p w14:paraId="76B0D2CD" w14:textId="77777777" w:rsidR="00E5096A" w:rsidRPr="0071364F" w:rsidRDefault="00E5096A" w:rsidP="00E5096A">
      <w:pPr>
        <w:ind w:left="720"/>
        <w:rPr>
          <w:rFonts w:asciiTheme="minorBidi" w:hAnsiTheme="minorBidi"/>
          <w:color w:val="000000" w:themeColor="text1"/>
          <w:lang w:val="en-ZA"/>
        </w:rPr>
      </w:pPr>
      <w:r w:rsidRPr="0071364F">
        <w:rPr>
          <w:rFonts w:asciiTheme="minorBidi" w:hAnsiTheme="minorBidi"/>
          <w:color w:val="000000" w:themeColor="text1"/>
          <w:lang w:val="en-ZA"/>
        </w:rPr>
        <w:t xml:space="preserve">First, it investigates how regulatory authority over SaMD and </w:t>
      </w:r>
      <w:proofErr w:type="spellStart"/>
      <w:r w:rsidRPr="0071364F">
        <w:rPr>
          <w:rFonts w:asciiTheme="minorBidi" w:hAnsiTheme="minorBidi"/>
          <w:color w:val="000000" w:themeColor="text1"/>
          <w:lang w:val="en-ZA"/>
        </w:rPr>
        <w:t>AIaMD</w:t>
      </w:r>
      <w:proofErr w:type="spellEnd"/>
      <w:r w:rsidRPr="0071364F">
        <w:rPr>
          <w:rFonts w:asciiTheme="minorBidi" w:hAnsiTheme="minorBidi"/>
          <w:color w:val="000000" w:themeColor="text1"/>
          <w:lang w:val="en-ZA"/>
        </w:rPr>
        <w:t xml:space="preserve"> is allocated within the South African legal hierarchy. It traces the mandate for safety from the </w:t>
      </w:r>
      <w:r w:rsidRPr="0071364F">
        <w:rPr>
          <w:rFonts w:asciiTheme="minorBidi" w:hAnsiTheme="minorBidi"/>
          <w:color w:val="000000" w:themeColor="text1"/>
          <w:lang w:val="en-ZA"/>
        </w:rPr>
        <w:lastRenderedPageBreak/>
        <w:t xml:space="preserve">Constitution, through primary legislation such as the National Health Act and the Medicines and Related Substances Act, to the specific institutional powers of the South African Health Products Regulatory Authority (SAHPRA). It questions whether the current legislative framework, evolved for static interventions, provides an adequate basis for lifecycle management. </w:t>
      </w:r>
    </w:p>
    <w:p w14:paraId="7893E8E6" w14:textId="77777777" w:rsidR="00E5096A" w:rsidRPr="0071364F" w:rsidRDefault="00E5096A" w:rsidP="00E5096A">
      <w:pPr>
        <w:ind w:left="720"/>
        <w:rPr>
          <w:rFonts w:asciiTheme="minorBidi" w:hAnsiTheme="minorBidi"/>
          <w:color w:val="000000" w:themeColor="text1"/>
          <w:lang w:val="en-ZA"/>
        </w:rPr>
      </w:pPr>
      <w:r w:rsidRPr="0071364F">
        <w:rPr>
          <w:rFonts w:asciiTheme="minorBidi" w:hAnsiTheme="minorBidi"/>
          <w:color w:val="000000" w:themeColor="text1"/>
          <w:lang w:val="en-ZA"/>
        </w:rPr>
        <w:t>Second, it benchmarks South Africa against the European Union’s approach to adaptive risk. By analysing tools such as Predetermined Change Control Plans (PCCPs) and the role of Notified Bodies, the study identifies what lifecycle management looks like when fully operationalised.</w:t>
      </w:r>
    </w:p>
    <w:p w14:paraId="5D5AA515" w14:textId="77777777" w:rsidR="00E5096A" w:rsidRPr="0071364F" w:rsidRDefault="00E5096A" w:rsidP="00E5096A">
      <w:pPr>
        <w:ind w:left="720"/>
        <w:rPr>
          <w:rFonts w:asciiTheme="minorBidi" w:hAnsiTheme="minorBidi"/>
          <w:color w:val="000000" w:themeColor="text1"/>
          <w:lang w:val="en-ZA"/>
        </w:rPr>
      </w:pPr>
      <w:r w:rsidRPr="0071364F">
        <w:rPr>
          <w:rFonts w:asciiTheme="minorBidi" w:hAnsiTheme="minorBidi"/>
          <w:color w:val="000000" w:themeColor="text1"/>
          <w:lang w:val="en-ZA"/>
        </w:rPr>
        <w:t>Finally, the thesis applies this benchmark to the local context to discover implementation issues. It examines the likelihood of the successful implementation of continuous assessment within South Africa’s existing capacity, specifically interrogating the capacity of existing bodies, such as technical assessors and Research Ethics Committees, to pivot from pre-market approval to real-time surveillance. This gap analysis can elucidate shortcomings and is critical for ensuring patient safety and providing the regulatory certainty necessary for local developers to innovate.</w:t>
      </w:r>
    </w:p>
    <w:p w14:paraId="0EA8F5E5" w14:textId="797BF543" w:rsidR="00355D63" w:rsidRPr="00517EC4" w:rsidRDefault="00355D63" w:rsidP="00E5096A">
      <w:pPr>
        <w:rPr>
          <w:rFonts w:asciiTheme="minorBidi" w:hAnsiTheme="minorBidi"/>
          <w:b/>
          <w:bCs/>
          <w:sz w:val="32"/>
          <w:szCs w:val="32"/>
          <w:lang w:val="en-ZA"/>
        </w:rPr>
      </w:pPr>
    </w:p>
    <w:p w14:paraId="00053FA9" w14:textId="0EB9F2EC" w:rsidR="00714A8B" w:rsidRPr="00960028" w:rsidRDefault="00CB3F6C" w:rsidP="00714A8B">
      <w:pPr>
        <w:rPr>
          <w:rFonts w:asciiTheme="minorBidi" w:hAnsiTheme="minorBidi"/>
          <w:b/>
          <w:bCs/>
          <w:sz w:val="28"/>
          <w:szCs w:val="28"/>
          <w:lang w:val="en-ZA"/>
        </w:rPr>
      </w:pPr>
      <w:r w:rsidRPr="00960028">
        <w:rPr>
          <w:rFonts w:asciiTheme="minorBidi" w:hAnsiTheme="minorBidi"/>
          <w:b/>
          <w:bCs/>
          <w:sz w:val="28"/>
          <w:szCs w:val="28"/>
          <w:lang w:val="en-ZA"/>
        </w:rPr>
        <w:t xml:space="preserve">3.   </w:t>
      </w:r>
      <w:r w:rsidR="00744DA5" w:rsidRPr="00960028">
        <w:rPr>
          <w:rFonts w:asciiTheme="minorBidi" w:hAnsiTheme="minorBidi"/>
          <w:b/>
          <w:bCs/>
          <w:sz w:val="28"/>
          <w:szCs w:val="28"/>
          <w:lang w:val="en-ZA"/>
        </w:rPr>
        <w:t>Literature Review:</w:t>
      </w:r>
    </w:p>
    <w:p w14:paraId="3D500E19" w14:textId="77777777" w:rsidR="00021612" w:rsidRDefault="00263537" w:rsidP="00DA24A9">
      <w:pPr>
        <w:pStyle w:val="Heading1"/>
        <w:rPr>
          <w:rFonts w:asciiTheme="minorBidi" w:hAnsiTheme="minorBidi" w:cstheme="minorBidi"/>
          <w:color w:val="auto"/>
          <w:sz w:val="24"/>
          <w:szCs w:val="24"/>
        </w:rPr>
      </w:pPr>
      <w:bookmarkStart w:id="3" w:name="_Toc217045470"/>
      <w:r w:rsidRPr="00960028">
        <w:rPr>
          <w:rFonts w:asciiTheme="minorBidi" w:hAnsiTheme="minorBidi" w:cstheme="minorBidi"/>
          <w:color w:val="auto"/>
          <w:sz w:val="24"/>
          <w:szCs w:val="24"/>
        </w:rPr>
        <w:lastRenderedPageBreak/>
        <w:t>3.1 Introduction</w:t>
      </w:r>
      <w:r w:rsidR="00702A66" w:rsidRPr="00960028">
        <w:rPr>
          <w:rFonts w:asciiTheme="minorBidi" w:hAnsiTheme="minorBidi" w:cstheme="minorBidi"/>
          <w:color w:val="auto"/>
          <w:sz w:val="24"/>
          <w:szCs w:val="24"/>
        </w:rPr>
        <w:t>:</w:t>
      </w:r>
      <w:bookmarkEnd w:id="3"/>
      <w:r w:rsidR="00702A66" w:rsidRPr="00960028">
        <w:rPr>
          <w:rFonts w:asciiTheme="minorBidi" w:hAnsiTheme="minorBidi" w:cstheme="minorBidi"/>
          <w:color w:val="auto"/>
          <w:sz w:val="24"/>
          <w:szCs w:val="24"/>
        </w:rPr>
        <w:t xml:space="preserve">  </w:t>
      </w:r>
      <w:r w:rsidR="00DA24A9">
        <w:rPr>
          <w:rFonts w:asciiTheme="minorBidi" w:hAnsiTheme="minorBidi" w:cstheme="minorBidi"/>
          <w:color w:val="auto"/>
          <w:sz w:val="24"/>
          <w:szCs w:val="24"/>
        </w:rPr>
        <w:br/>
      </w:r>
    </w:p>
    <w:p w14:paraId="6AF7A669" w14:textId="5FB6E313" w:rsidR="00021612" w:rsidRDefault="00021612" w:rsidP="00021612">
      <w:pPr>
        <w:pStyle w:val="Heading1"/>
        <w:rPr>
          <w:rFonts w:asciiTheme="minorBidi" w:hAnsiTheme="minorBidi" w:cstheme="minorBidi"/>
          <w:b w:val="0"/>
          <w:bCs w:val="0"/>
          <w:color w:val="auto"/>
          <w:sz w:val="24"/>
          <w:szCs w:val="24"/>
        </w:rPr>
      </w:pPr>
      <w:r w:rsidRPr="00021612">
        <w:rPr>
          <w:rFonts w:asciiTheme="minorBidi" w:hAnsiTheme="minorBidi" w:cstheme="minorBidi"/>
          <w:b w:val="0"/>
          <w:bCs w:val="0"/>
          <w:color w:val="auto"/>
          <w:sz w:val="24"/>
          <w:szCs w:val="24"/>
        </w:rPr>
        <w:t xml:space="preserve">This literature review </w:t>
      </w:r>
      <w:r w:rsidR="005C07FF">
        <w:rPr>
          <w:rFonts w:asciiTheme="minorBidi" w:hAnsiTheme="minorBidi" w:cstheme="minorBidi"/>
          <w:b w:val="0"/>
          <w:bCs w:val="0"/>
          <w:color w:val="auto"/>
          <w:sz w:val="24"/>
          <w:szCs w:val="24"/>
        </w:rPr>
        <w:t>begins with international developments and norms in medical device regulation, then turns to regional efforts, and finally focuses on the evolution of regulatory frameworks in</w:t>
      </w:r>
      <w:r>
        <w:rPr>
          <w:rFonts w:asciiTheme="minorBidi" w:hAnsiTheme="minorBidi" w:cstheme="minorBidi"/>
          <w:b w:val="0"/>
          <w:bCs w:val="0"/>
          <w:color w:val="auto"/>
          <w:sz w:val="24"/>
          <w:szCs w:val="24"/>
        </w:rPr>
        <w:t xml:space="preserve"> South Africa.  It traces the </w:t>
      </w:r>
      <w:r w:rsidR="005C07FF">
        <w:rPr>
          <w:rFonts w:asciiTheme="minorBidi" w:hAnsiTheme="minorBidi" w:cstheme="minorBidi"/>
          <w:b w:val="0"/>
          <w:bCs w:val="0"/>
          <w:color w:val="auto"/>
          <w:sz w:val="24"/>
          <w:szCs w:val="24"/>
        </w:rPr>
        <w:t>evolution of regulatory frameworks from the first device regulations promulgated in 2016 to the updated regulations developed in response to the challenges posed by the rapid growth</w:t>
      </w:r>
      <w:r>
        <w:rPr>
          <w:rFonts w:asciiTheme="minorBidi" w:hAnsiTheme="minorBidi" w:cstheme="minorBidi"/>
          <w:b w:val="0"/>
          <w:bCs w:val="0"/>
          <w:color w:val="auto"/>
          <w:sz w:val="24"/>
          <w:szCs w:val="24"/>
        </w:rPr>
        <w:t xml:space="preserve"> of software-driven and AI-enabled medical technologies.  </w:t>
      </w:r>
    </w:p>
    <w:p w14:paraId="227AD508" w14:textId="77777777" w:rsidR="005C07FF" w:rsidRDefault="00021612" w:rsidP="00021612">
      <w:pPr>
        <w:pStyle w:val="Heading1"/>
        <w:rPr>
          <w:rFonts w:asciiTheme="minorBidi" w:hAnsiTheme="minorBidi" w:cstheme="minorBidi"/>
          <w:b w:val="0"/>
          <w:bCs w:val="0"/>
          <w:color w:val="auto"/>
          <w:sz w:val="24"/>
          <w:szCs w:val="24"/>
        </w:rPr>
      </w:pPr>
      <w:r>
        <w:rPr>
          <w:rFonts w:asciiTheme="minorBidi" w:hAnsiTheme="minorBidi" w:cstheme="minorBidi"/>
          <w:b w:val="0"/>
          <w:bCs w:val="0"/>
          <w:color w:val="auto"/>
          <w:sz w:val="24"/>
          <w:szCs w:val="24"/>
        </w:rPr>
        <w:t xml:space="preserve">The initial regulation of medical devices was heavily influenced by pharmaceutical regulations and focused on static, physical products.  The </w:t>
      </w:r>
      <w:r w:rsidR="00712845">
        <w:rPr>
          <w:rFonts w:asciiTheme="minorBidi" w:hAnsiTheme="minorBidi" w:cstheme="minorBidi"/>
          <w:b w:val="0"/>
          <w:bCs w:val="0"/>
          <w:color w:val="auto"/>
          <w:sz w:val="24"/>
          <w:szCs w:val="24"/>
        </w:rPr>
        <w:t xml:space="preserve">introduction of software </w:t>
      </w:r>
      <w:r w:rsidR="00F83246">
        <w:rPr>
          <w:rFonts w:asciiTheme="minorBidi" w:hAnsiTheme="minorBidi" w:cstheme="minorBidi"/>
          <w:b w:val="0"/>
          <w:bCs w:val="0"/>
          <w:color w:val="auto"/>
          <w:sz w:val="24"/>
          <w:szCs w:val="24"/>
        </w:rPr>
        <w:t xml:space="preserve">challenged the </w:t>
      </w:r>
      <w:r w:rsidR="005C07FF">
        <w:rPr>
          <w:rFonts w:asciiTheme="minorBidi" w:hAnsiTheme="minorBidi" w:cstheme="minorBidi"/>
          <w:b w:val="0"/>
          <w:bCs w:val="0"/>
          <w:color w:val="auto"/>
          <w:sz w:val="24"/>
          <w:szCs w:val="24"/>
        </w:rPr>
        <w:t>approved once paradigm, and the ongoing development of AI-enabled medical devices requires an approach that manages post-market surveillance and continuous compliance, as these have emerged as the primary mechanisms through which regulators can manage post-approval</w:t>
      </w:r>
      <w:r w:rsidR="00F83246">
        <w:rPr>
          <w:rFonts w:asciiTheme="minorBidi" w:hAnsiTheme="minorBidi" w:cstheme="minorBidi"/>
          <w:b w:val="0"/>
          <w:bCs w:val="0"/>
          <w:color w:val="auto"/>
          <w:sz w:val="24"/>
          <w:szCs w:val="24"/>
        </w:rPr>
        <w:t xml:space="preserve"> risk.  </w:t>
      </w:r>
    </w:p>
    <w:p w14:paraId="5F4A655D" w14:textId="2F5BAC35" w:rsidR="00021612" w:rsidRDefault="00F83246" w:rsidP="00021612">
      <w:pPr>
        <w:pStyle w:val="Heading1"/>
        <w:rPr>
          <w:rFonts w:asciiTheme="minorBidi" w:hAnsiTheme="minorBidi" w:cstheme="minorBidi"/>
          <w:b w:val="0"/>
          <w:bCs w:val="0"/>
          <w:color w:val="auto"/>
          <w:sz w:val="24"/>
          <w:szCs w:val="24"/>
        </w:rPr>
      </w:pPr>
      <w:r>
        <w:rPr>
          <w:rFonts w:asciiTheme="minorBidi" w:hAnsiTheme="minorBidi" w:cstheme="minorBidi"/>
          <w:b w:val="0"/>
          <w:bCs w:val="0"/>
          <w:color w:val="auto"/>
          <w:sz w:val="24"/>
          <w:szCs w:val="24"/>
        </w:rPr>
        <w:t xml:space="preserve">This progression allows the literature to show how historical assumptions within regulatory frameworks and the subsequent regulatory structures give rise to identifiable gaps in regulatory processes that </w:t>
      </w:r>
      <w:r w:rsidR="005C07FF">
        <w:rPr>
          <w:rFonts w:asciiTheme="minorBidi" w:hAnsiTheme="minorBidi" w:cstheme="minorBidi"/>
          <w:b w:val="0"/>
          <w:bCs w:val="0"/>
          <w:color w:val="auto"/>
          <w:sz w:val="24"/>
          <w:szCs w:val="24"/>
        </w:rPr>
        <w:t>prevent</w:t>
      </w:r>
      <w:r>
        <w:rPr>
          <w:rFonts w:asciiTheme="minorBidi" w:hAnsiTheme="minorBidi" w:cstheme="minorBidi"/>
          <w:b w:val="0"/>
          <w:bCs w:val="0"/>
          <w:color w:val="auto"/>
          <w:sz w:val="24"/>
          <w:szCs w:val="24"/>
        </w:rPr>
        <w:t xml:space="preserve"> adequate governance. </w:t>
      </w:r>
    </w:p>
    <w:p w14:paraId="62046657" w14:textId="77777777" w:rsidR="00F83246" w:rsidRDefault="00F83246" w:rsidP="00F83246"/>
    <w:p w14:paraId="1E604164" w14:textId="3A5E3D61" w:rsidR="00F83246" w:rsidRPr="00F83246" w:rsidRDefault="00F83246" w:rsidP="00F83246"/>
    <w:p w14:paraId="7A76CAB8" w14:textId="3885902C" w:rsidR="00034FAB" w:rsidRPr="00960028" w:rsidRDefault="00263537" w:rsidP="00034FAB">
      <w:pPr>
        <w:pStyle w:val="Heading1"/>
        <w:rPr>
          <w:rFonts w:asciiTheme="minorBidi" w:hAnsiTheme="minorBidi" w:cstheme="minorBidi"/>
          <w:color w:val="auto"/>
          <w:sz w:val="24"/>
          <w:szCs w:val="24"/>
        </w:rPr>
      </w:pPr>
      <w:bookmarkStart w:id="4" w:name="_Toc217045471"/>
      <w:bookmarkEnd w:id="0"/>
      <w:proofErr w:type="gramStart"/>
      <w:r w:rsidRPr="00960028">
        <w:rPr>
          <w:rFonts w:asciiTheme="minorBidi" w:hAnsiTheme="minorBidi" w:cstheme="minorBidi"/>
          <w:color w:val="auto"/>
          <w:sz w:val="24"/>
          <w:szCs w:val="24"/>
        </w:rPr>
        <w:t xml:space="preserve">3.2  </w:t>
      </w:r>
      <w:r w:rsidR="00D53C0D" w:rsidRPr="00960028">
        <w:rPr>
          <w:rFonts w:asciiTheme="minorBidi" w:hAnsiTheme="minorBidi" w:cstheme="minorBidi"/>
          <w:color w:val="auto"/>
          <w:sz w:val="24"/>
          <w:szCs w:val="24"/>
        </w:rPr>
        <w:t>Historical</w:t>
      </w:r>
      <w:proofErr w:type="gramEnd"/>
      <w:r w:rsidR="00D53C0D" w:rsidRPr="00960028">
        <w:rPr>
          <w:rFonts w:asciiTheme="minorBidi" w:hAnsiTheme="minorBidi" w:cstheme="minorBidi"/>
          <w:color w:val="auto"/>
          <w:sz w:val="24"/>
          <w:szCs w:val="24"/>
        </w:rPr>
        <w:t xml:space="preserve"> Overview</w:t>
      </w:r>
      <w:bookmarkEnd w:id="4"/>
    </w:p>
    <w:p w14:paraId="265D2691" w14:textId="52BD22F5" w:rsidR="00D53C0D" w:rsidRPr="00D53C0D" w:rsidRDefault="00D53C0D" w:rsidP="00D53C0D">
      <w:pPr>
        <w:pStyle w:val="Heading1"/>
        <w:ind w:left="720"/>
        <w:rPr>
          <w:rFonts w:asciiTheme="minorBidi" w:hAnsiTheme="minorBidi" w:cstheme="minorBidi"/>
          <w:color w:val="auto"/>
          <w:sz w:val="22"/>
          <w:szCs w:val="22"/>
        </w:rPr>
      </w:pPr>
      <w:bookmarkStart w:id="5" w:name="_Toc217045472"/>
      <w:proofErr w:type="gramStart"/>
      <w:r w:rsidRPr="00D53C0D">
        <w:rPr>
          <w:rFonts w:asciiTheme="minorBidi" w:hAnsiTheme="minorBidi" w:cstheme="minorBidi"/>
          <w:color w:val="auto"/>
          <w:sz w:val="22"/>
          <w:szCs w:val="22"/>
        </w:rPr>
        <w:t>3.2.1  Pre</w:t>
      </w:r>
      <w:proofErr w:type="gramEnd"/>
      <w:r w:rsidRPr="00D53C0D">
        <w:rPr>
          <w:rFonts w:asciiTheme="minorBidi" w:hAnsiTheme="minorBidi" w:cstheme="minorBidi"/>
          <w:color w:val="auto"/>
          <w:sz w:val="22"/>
          <w:szCs w:val="22"/>
        </w:rPr>
        <w:t>-2016: Legislative Vacuum and Regulatory Ambiguity</w:t>
      </w:r>
      <w:bookmarkEnd w:id="5"/>
    </w:p>
    <w:p w14:paraId="493B6AD8" w14:textId="6526885C" w:rsidR="001E2386" w:rsidRPr="00517EC4" w:rsidRDefault="001E2386" w:rsidP="00355D63">
      <w:pPr>
        <w:ind w:left="720"/>
        <w:rPr>
          <w:rFonts w:asciiTheme="minorBidi" w:hAnsiTheme="minorBidi"/>
          <w:lang w:val="en-ZA"/>
        </w:rPr>
      </w:pPr>
      <w:r w:rsidRPr="00517EC4">
        <w:rPr>
          <w:rFonts w:asciiTheme="minorBidi" w:hAnsiTheme="minorBidi"/>
          <w:lang w:val="en-ZA"/>
        </w:rPr>
        <w:t xml:space="preserve">Prior to 2016, South Africa had no formal laws or regulatory framework for medical devices, creating a landscape where most devices operated without formal safety, efficacy, or quality controls. </w:t>
      </w:r>
      <w:bookmarkStart w:id="6" w:name="_Ref216016699"/>
      <w:r w:rsidR="005664A3" w:rsidRPr="00517EC4">
        <w:rPr>
          <w:rStyle w:val="FootnoteReference"/>
          <w:rFonts w:asciiTheme="minorBidi" w:hAnsiTheme="minorBidi"/>
          <w:lang w:val="en-ZA"/>
        </w:rPr>
        <w:footnoteReference w:id="2"/>
      </w:r>
      <w:bookmarkEnd w:id="6"/>
      <w:r w:rsidR="005664A3" w:rsidRPr="00517EC4">
        <w:rPr>
          <w:rFonts w:asciiTheme="minorBidi" w:hAnsiTheme="minorBidi"/>
          <w:lang w:val="en-ZA"/>
        </w:rPr>
        <w:t xml:space="preserve">  </w:t>
      </w:r>
      <w:r w:rsidRPr="00517EC4">
        <w:rPr>
          <w:rFonts w:asciiTheme="minorBidi" w:hAnsiTheme="minorBidi"/>
          <w:lang w:val="en-ZA"/>
        </w:rPr>
        <w:t xml:space="preserve">Only electromagnetic or radiation-emitting devices </w:t>
      </w:r>
      <w:r w:rsidR="00E94A8A">
        <w:rPr>
          <w:rFonts w:asciiTheme="minorBidi" w:hAnsiTheme="minorBidi"/>
          <w:lang w:val="en-ZA"/>
        </w:rPr>
        <w:t xml:space="preserve">are required to register under the </w:t>
      </w:r>
      <w:r w:rsidRPr="00517EC4">
        <w:rPr>
          <w:rFonts w:asciiTheme="minorBidi" w:hAnsiTheme="minorBidi"/>
          <w:lang w:val="en-ZA"/>
        </w:rPr>
        <w:t xml:space="preserve">limited provisions of the Medicines and Related Substances Act of 1965 (Act 101), leaving </w:t>
      </w:r>
      <w:r w:rsidR="005664A3" w:rsidRPr="00517EC4">
        <w:rPr>
          <w:rFonts w:asciiTheme="minorBidi" w:hAnsiTheme="minorBidi"/>
          <w:lang w:val="en-ZA"/>
        </w:rPr>
        <w:t xml:space="preserve">all </w:t>
      </w:r>
      <w:r w:rsidRPr="00517EC4">
        <w:rPr>
          <w:rFonts w:asciiTheme="minorBidi" w:hAnsiTheme="minorBidi"/>
          <w:lang w:val="en-ZA"/>
        </w:rPr>
        <w:t>other devices unregulated and reliant on voluntary industry standards or international certifications</w:t>
      </w:r>
      <w:r w:rsidR="00034FAB" w:rsidRPr="00517EC4">
        <w:rPr>
          <w:rFonts w:asciiTheme="minorBidi" w:hAnsiTheme="minorBidi"/>
          <w:lang w:val="en-ZA"/>
        </w:rPr>
        <w:t xml:space="preserve">. </w:t>
      </w:r>
      <w:r w:rsidR="005664A3" w:rsidRPr="00517EC4">
        <w:rPr>
          <w:rStyle w:val="FootnoteReference"/>
          <w:rFonts w:asciiTheme="minorBidi" w:hAnsiTheme="minorBidi"/>
          <w:lang w:val="en-ZA"/>
        </w:rPr>
        <w:footnoteReference w:id="3"/>
      </w:r>
      <w:r w:rsidR="00034FAB" w:rsidRPr="00517EC4">
        <w:rPr>
          <w:rFonts w:asciiTheme="minorBidi" w:hAnsiTheme="minorBidi"/>
          <w:lang w:val="en-ZA"/>
        </w:rPr>
        <w:t xml:space="preserve">  </w:t>
      </w:r>
      <w:r w:rsidR="00034FAB" w:rsidRPr="00517EC4">
        <w:rPr>
          <w:rFonts w:asciiTheme="minorBidi" w:hAnsiTheme="minorBidi"/>
        </w:rPr>
        <w:t xml:space="preserve">Scholars like Donnelly argued that the absence of a defined legal </w:t>
      </w:r>
      <w:r w:rsidR="00034FAB" w:rsidRPr="00517EC4">
        <w:rPr>
          <w:rFonts w:asciiTheme="minorBidi" w:hAnsiTheme="minorBidi"/>
        </w:rPr>
        <w:lastRenderedPageBreak/>
        <w:t>category for software</w:t>
      </w:r>
      <w:r w:rsidR="00034FAB" w:rsidRPr="00517EC4">
        <w:rPr>
          <w:rFonts w:ascii="Cambria Math" w:hAnsi="Cambria Math" w:cs="Cambria Math"/>
        </w:rPr>
        <w:t>‑</w:t>
      </w:r>
      <w:r w:rsidR="00034FAB" w:rsidRPr="00517EC4">
        <w:rPr>
          <w:rFonts w:asciiTheme="minorBidi" w:hAnsiTheme="minorBidi"/>
        </w:rPr>
        <w:t xml:space="preserve">based medical interventions created a “regulatory vacuum,” </w:t>
      </w:r>
      <w:r w:rsidR="00034FAB" w:rsidRPr="00517EC4">
        <w:rPr>
          <w:rStyle w:val="FootnoteReference"/>
          <w:rFonts w:asciiTheme="minorBidi" w:hAnsiTheme="minorBidi"/>
        </w:rPr>
        <w:footnoteReference w:id="4"/>
      </w:r>
      <w:r w:rsidR="00034FAB" w:rsidRPr="00517EC4">
        <w:rPr>
          <w:rFonts w:asciiTheme="minorBidi" w:hAnsiTheme="minorBidi"/>
        </w:rPr>
        <w:t xml:space="preserve"> exposing users to risks relating to efficacy, cybersecurity, and data privacy. Software embedded in hardware devices might have been captured indirectly, but dynamic, updateable</w:t>
      </w:r>
      <w:r w:rsidR="00E94A8A">
        <w:rPr>
          <w:rFonts w:asciiTheme="minorBidi" w:hAnsiTheme="minorBidi"/>
        </w:rPr>
        <w:t>,</w:t>
      </w:r>
      <w:r w:rsidR="00034FAB" w:rsidRPr="00517EC4">
        <w:rPr>
          <w:rFonts w:asciiTheme="minorBidi" w:hAnsiTheme="minorBidi"/>
        </w:rPr>
        <w:t xml:space="preserve"> standalone software remained unregulated.  </w:t>
      </w:r>
      <w:r w:rsidRPr="00517EC4">
        <w:rPr>
          <w:rFonts w:asciiTheme="minorBidi" w:hAnsiTheme="minorBidi"/>
          <w:lang w:val="en-ZA"/>
        </w:rPr>
        <w:t xml:space="preserve">Ethical discussions during this period, though </w:t>
      </w:r>
      <w:r w:rsidR="00034FAB" w:rsidRPr="00517EC4">
        <w:rPr>
          <w:rFonts w:asciiTheme="minorBidi" w:hAnsiTheme="minorBidi"/>
          <w:lang w:val="en-ZA"/>
        </w:rPr>
        <w:t>not detailed</w:t>
      </w:r>
      <w:r w:rsidRPr="00517EC4">
        <w:rPr>
          <w:rFonts w:asciiTheme="minorBidi" w:hAnsiTheme="minorBidi"/>
          <w:lang w:val="en-ZA"/>
        </w:rPr>
        <w:t xml:space="preserve"> on devices, underscored broader concerns in African health systems, such as justice and access inequities, which could be exacerbated by unregulated technologies like early health monitoring wearables.</w:t>
      </w:r>
      <w:r w:rsidR="00C546EF" w:rsidRPr="00517EC4">
        <w:rPr>
          <w:rStyle w:val="FootnoteReference"/>
          <w:rFonts w:asciiTheme="minorBidi" w:hAnsiTheme="minorBidi"/>
          <w:lang w:val="en-ZA"/>
        </w:rPr>
        <w:footnoteReference w:id="5"/>
      </w:r>
    </w:p>
    <w:p w14:paraId="7904CA91" w14:textId="563A2866" w:rsidR="00D53C0D" w:rsidRPr="00BB1C89" w:rsidRDefault="00D53C0D" w:rsidP="00355D63">
      <w:pPr>
        <w:ind w:left="720"/>
        <w:rPr>
          <w:rFonts w:asciiTheme="minorBidi" w:hAnsiTheme="minorBidi"/>
          <w:b/>
          <w:bCs/>
        </w:rPr>
      </w:pPr>
      <w:proofErr w:type="gramStart"/>
      <w:r w:rsidRPr="00BB1C89">
        <w:rPr>
          <w:rFonts w:asciiTheme="minorBidi" w:hAnsiTheme="minorBidi"/>
          <w:b/>
          <w:bCs/>
        </w:rPr>
        <w:t>3.2.2  Initial</w:t>
      </w:r>
      <w:proofErr w:type="gramEnd"/>
      <w:r w:rsidRPr="00BB1C89">
        <w:rPr>
          <w:rFonts w:asciiTheme="minorBidi" w:hAnsiTheme="minorBidi"/>
          <w:b/>
          <w:bCs/>
        </w:rPr>
        <w:t xml:space="preserve"> Device Regulations</w:t>
      </w:r>
    </w:p>
    <w:p w14:paraId="2D8CFA9E" w14:textId="67F339FF" w:rsidR="00FA446F" w:rsidRPr="00517EC4" w:rsidRDefault="00000000" w:rsidP="00355D63">
      <w:pPr>
        <w:ind w:left="720"/>
        <w:rPr>
          <w:rFonts w:asciiTheme="minorBidi" w:hAnsiTheme="minorBidi"/>
          <w:lang w:val="en-ZA"/>
        </w:rPr>
      </w:pPr>
      <w:r w:rsidRPr="00517EC4">
        <w:rPr>
          <w:rFonts w:asciiTheme="minorBidi" w:hAnsiTheme="minorBidi"/>
        </w:rPr>
        <w:t>The promulgation of the Regulations Relating to Medical Devices and IVDs in Government Gazette No. 40480 (2016)</w:t>
      </w:r>
      <w:r w:rsidR="0019069A" w:rsidRPr="00517EC4">
        <w:rPr>
          <w:rStyle w:val="FootnoteReference"/>
          <w:rFonts w:asciiTheme="minorBidi" w:hAnsiTheme="minorBidi"/>
        </w:rPr>
        <w:footnoteReference w:id="6"/>
      </w:r>
      <w:r w:rsidRPr="00517EC4">
        <w:rPr>
          <w:rFonts w:asciiTheme="minorBidi" w:hAnsiTheme="minorBidi"/>
        </w:rPr>
        <w:t xml:space="preserve"> </w:t>
      </w:r>
      <w:r w:rsidR="00E94A8A">
        <w:rPr>
          <w:rFonts w:asciiTheme="minorBidi" w:hAnsiTheme="minorBidi"/>
        </w:rPr>
        <w:t>Marked</w:t>
      </w:r>
      <w:r w:rsidRPr="00517EC4">
        <w:rPr>
          <w:rFonts w:asciiTheme="minorBidi" w:hAnsiTheme="minorBidi"/>
        </w:rPr>
        <w:t xml:space="preserve"> the first legal step towards formal oversight. </w:t>
      </w:r>
      <w:r w:rsidR="00FA446F" w:rsidRPr="00517EC4">
        <w:rPr>
          <w:rFonts w:asciiTheme="minorBidi" w:hAnsiTheme="minorBidi"/>
        </w:rPr>
        <w:t xml:space="preserve"> </w:t>
      </w:r>
      <w:r w:rsidR="00FA446F" w:rsidRPr="00517EC4">
        <w:rPr>
          <w:rFonts w:asciiTheme="minorBidi" w:hAnsiTheme="minorBidi"/>
          <w:lang w:val="en-ZA"/>
        </w:rPr>
        <w:t>This Act defined medical devices broadly to include "any instrument, apparatus, machine, appliance, implant, reagent for in vitro use, software, material, or related article" for medical purposes, explicitly encompassing software and laying the groundwork for SaMD regulation. Key changes included establishing the South African Health Products Regulatory Authority (SAHPRA) as an autonomous entity replacing the Medicines Control Council (MCC), introducing a four-tier risk-based classification system (Classes A–D), and mandating licensing for manufacturers, importers, and distributors. Registration required conformity assessments, technical documentation, and reliance on international approvals (e.g., FDA, EU CE marks) for higher-risk devices, with post-market surveillance for adverse events.</w:t>
      </w:r>
    </w:p>
    <w:p w14:paraId="2D82F216" w14:textId="33186A23" w:rsidR="00E2077E" w:rsidRPr="00517EC4" w:rsidRDefault="00000000" w:rsidP="00355D63">
      <w:pPr>
        <w:ind w:left="720"/>
        <w:rPr>
          <w:rFonts w:asciiTheme="minorBidi" w:hAnsiTheme="minorBidi"/>
        </w:rPr>
      </w:pPr>
      <w:r w:rsidRPr="00517EC4">
        <w:rPr>
          <w:rFonts w:asciiTheme="minorBidi" w:hAnsiTheme="minorBidi"/>
        </w:rPr>
        <w:t xml:space="preserve">The </w:t>
      </w:r>
      <w:r w:rsidR="00FA446F" w:rsidRPr="00517EC4">
        <w:rPr>
          <w:rFonts w:asciiTheme="minorBidi" w:hAnsiTheme="minorBidi"/>
        </w:rPr>
        <w:t xml:space="preserve">introduction of </w:t>
      </w:r>
      <w:r w:rsidRPr="00517EC4">
        <w:rPr>
          <w:rFonts w:asciiTheme="minorBidi" w:hAnsiTheme="minorBidi"/>
        </w:rPr>
        <w:t>regulations requir</w:t>
      </w:r>
      <w:r w:rsidR="00FA446F" w:rsidRPr="00517EC4">
        <w:rPr>
          <w:rFonts w:asciiTheme="minorBidi" w:hAnsiTheme="minorBidi"/>
        </w:rPr>
        <w:t>ing</w:t>
      </w:r>
      <w:r w:rsidRPr="00517EC4">
        <w:rPr>
          <w:rFonts w:asciiTheme="minorBidi" w:hAnsiTheme="minorBidi"/>
        </w:rPr>
        <w:t xml:space="preserve"> licensing for manufacturers, distributors, and importers, implicitly covering software that met the medical device definition</w:t>
      </w:r>
      <w:r w:rsidR="00E94A8A">
        <w:rPr>
          <w:rFonts w:asciiTheme="minorBidi" w:hAnsiTheme="minorBidi"/>
        </w:rPr>
        <w:t>,</w:t>
      </w:r>
      <w:r w:rsidR="00FA446F" w:rsidRPr="00517EC4">
        <w:rPr>
          <w:rFonts w:asciiTheme="minorBidi" w:hAnsiTheme="minorBidi"/>
        </w:rPr>
        <w:t xml:space="preserve"> made a start</w:t>
      </w:r>
      <w:r w:rsidRPr="00517EC4">
        <w:rPr>
          <w:rFonts w:asciiTheme="minorBidi" w:hAnsiTheme="minorBidi"/>
        </w:rPr>
        <w:t>. However, as Townsend notes, the regulatory definitions remained “hardware</w:t>
      </w:r>
      <w:r w:rsidRPr="00517EC4">
        <w:rPr>
          <w:rFonts w:ascii="Cambria Math" w:hAnsi="Cambria Math" w:cs="Cambria Math"/>
        </w:rPr>
        <w:t>‑</w:t>
      </w:r>
      <w:r w:rsidRPr="00517EC4">
        <w:rPr>
          <w:rFonts w:asciiTheme="minorBidi" w:hAnsiTheme="minorBidi"/>
        </w:rPr>
        <w:t>centric,” failing to distinguish between static embedded code and adaptive software systems.</w:t>
      </w:r>
      <w:r w:rsidR="00EE3938" w:rsidRPr="00517EC4">
        <w:rPr>
          <w:rFonts w:asciiTheme="minorBidi" w:hAnsiTheme="minorBidi"/>
        </w:rPr>
        <w:t xml:space="preserve"> </w:t>
      </w:r>
      <w:r w:rsidR="00EE3938" w:rsidRPr="00517EC4">
        <w:rPr>
          <w:rStyle w:val="FootnoteReference"/>
          <w:rFonts w:asciiTheme="minorBidi" w:hAnsiTheme="minorBidi"/>
        </w:rPr>
        <w:footnoteReference w:id="7"/>
      </w:r>
      <w:r w:rsidR="00EE3938" w:rsidRPr="00517EC4">
        <w:rPr>
          <w:rFonts w:asciiTheme="minorBidi" w:hAnsiTheme="minorBidi"/>
        </w:rPr>
        <w:t xml:space="preserve"> </w:t>
      </w:r>
      <w:r w:rsidRPr="00517EC4">
        <w:rPr>
          <w:rFonts w:asciiTheme="minorBidi" w:hAnsiTheme="minorBidi"/>
        </w:rPr>
        <w:t xml:space="preserve">SAHPRA was established in 2018, but </w:t>
      </w:r>
      <w:r w:rsidR="00E94A8A">
        <w:rPr>
          <w:rFonts w:asciiTheme="minorBidi" w:hAnsiTheme="minorBidi"/>
        </w:rPr>
        <w:t>at this early stage, without issuing any specific SaMD guidance</w:t>
      </w:r>
      <w:r w:rsidRPr="00517EC4">
        <w:rPr>
          <w:rFonts w:asciiTheme="minorBidi" w:hAnsiTheme="minorBidi"/>
        </w:rPr>
        <w:t>, classification</w:t>
      </w:r>
      <w:r w:rsidR="00E94A8A">
        <w:rPr>
          <w:rFonts w:asciiTheme="minorBidi" w:hAnsiTheme="minorBidi"/>
        </w:rPr>
        <w:t>,</w:t>
      </w:r>
      <w:r w:rsidRPr="00517EC4">
        <w:rPr>
          <w:rFonts w:asciiTheme="minorBidi" w:hAnsiTheme="minorBidi"/>
        </w:rPr>
        <w:t xml:space="preserve"> and conformity assessments defaulted to general device protocols.</w:t>
      </w:r>
    </w:p>
    <w:p w14:paraId="1F4863EB" w14:textId="044AC846" w:rsidR="00BB1C89" w:rsidRPr="00BB1C89" w:rsidRDefault="00BB1C89" w:rsidP="00BB1C89">
      <w:pPr>
        <w:ind w:left="720"/>
        <w:rPr>
          <w:rFonts w:asciiTheme="minorBidi" w:hAnsiTheme="minorBidi"/>
          <w:b/>
          <w:bCs/>
        </w:rPr>
      </w:pPr>
      <w:proofErr w:type="gramStart"/>
      <w:r w:rsidRPr="00BB1C89">
        <w:rPr>
          <w:rFonts w:asciiTheme="minorBidi" w:hAnsiTheme="minorBidi"/>
          <w:b/>
          <w:bCs/>
        </w:rPr>
        <w:lastRenderedPageBreak/>
        <w:t>3.2.</w:t>
      </w:r>
      <w:r>
        <w:rPr>
          <w:rFonts w:asciiTheme="minorBidi" w:hAnsiTheme="minorBidi"/>
          <w:b/>
          <w:bCs/>
        </w:rPr>
        <w:t>4</w:t>
      </w:r>
      <w:r w:rsidRPr="00BB1C89">
        <w:rPr>
          <w:rFonts w:asciiTheme="minorBidi" w:hAnsiTheme="minorBidi"/>
          <w:b/>
          <w:bCs/>
        </w:rPr>
        <w:t xml:space="preserve">  </w:t>
      </w:r>
      <w:r>
        <w:rPr>
          <w:rFonts w:asciiTheme="minorBidi" w:hAnsiTheme="minorBidi"/>
          <w:b/>
          <w:bCs/>
        </w:rPr>
        <w:t>Strategic</w:t>
      </w:r>
      <w:proofErr w:type="gramEnd"/>
      <w:r>
        <w:rPr>
          <w:rFonts w:asciiTheme="minorBidi" w:hAnsiTheme="minorBidi"/>
          <w:b/>
          <w:bCs/>
        </w:rPr>
        <w:t xml:space="preserve"> Policy with limited legal reach</w:t>
      </w:r>
    </w:p>
    <w:p w14:paraId="65B668AE" w14:textId="5A560F65" w:rsidR="00FA446F" w:rsidRPr="00517EC4" w:rsidRDefault="00FA446F" w:rsidP="00355D63">
      <w:pPr>
        <w:ind w:left="720"/>
        <w:rPr>
          <w:rFonts w:asciiTheme="minorBidi" w:hAnsiTheme="minorBidi"/>
          <w:lang w:val="en-ZA"/>
        </w:rPr>
      </w:pPr>
      <w:r w:rsidRPr="00517EC4">
        <w:rPr>
          <w:rFonts w:asciiTheme="minorBidi" w:hAnsiTheme="minorBidi"/>
          <w:lang w:val="en-ZA"/>
        </w:rPr>
        <w:t xml:space="preserve">By 2019, SAHPRA issued guidelines on classification, essential principles, emphasizing IMDRF harmonization for safety and performance. Literature reviews of African regulations considered South </w:t>
      </w:r>
      <w:r w:rsidR="00E94A8A">
        <w:rPr>
          <w:rFonts w:asciiTheme="minorBidi" w:hAnsiTheme="minorBidi"/>
          <w:lang w:val="en-ZA"/>
        </w:rPr>
        <w:t>Africa's</w:t>
      </w:r>
      <w:r w:rsidRPr="00517EC4">
        <w:rPr>
          <w:rFonts w:asciiTheme="minorBidi" w:hAnsiTheme="minorBidi"/>
          <w:lang w:val="en-ZA"/>
        </w:rPr>
        <w:t xml:space="preserve"> </w:t>
      </w:r>
      <w:r w:rsidR="00E94A8A">
        <w:rPr>
          <w:rFonts w:asciiTheme="minorBidi" w:hAnsiTheme="minorBidi"/>
          <w:lang w:val="en-ZA"/>
        </w:rPr>
        <w:t>advanced, with routine inspections and adverse event reporting, but noted persistent challenges such as</w:t>
      </w:r>
      <w:r w:rsidRPr="00517EC4">
        <w:rPr>
          <w:rFonts w:asciiTheme="minorBidi" w:hAnsiTheme="minorBidi"/>
          <w:lang w:val="en-ZA"/>
        </w:rPr>
        <w:t xml:space="preserve"> funding shortages and reliance on foreign certifications.</w:t>
      </w:r>
      <w:r w:rsidRPr="00517EC4">
        <w:rPr>
          <w:rStyle w:val="FootnoteReference"/>
          <w:rFonts w:asciiTheme="minorBidi" w:hAnsiTheme="minorBidi"/>
          <w:lang w:val="en-ZA"/>
        </w:rPr>
        <w:footnoteReference w:id="8"/>
      </w:r>
      <w:r w:rsidRPr="00517EC4">
        <w:rPr>
          <w:rFonts w:asciiTheme="minorBidi" w:hAnsiTheme="minorBidi"/>
          <w:lang w:val="en-ZA"/>
        </w:rPr>
        <w:t xml:space="preserve"> </w:t>
      </w:r>
    </w:p>
    <w:p w14:paraId="47EBDF20" w14:textId="09A131DE" w:rsidR="00E2077E" w:rsidRPr="00517EC4" w:rsidRDefault="00000000" w:rsidP="00355D63">
      <w:pPr>
        <w:ind w:left="720"/>
        <w:rPr>
          <w:rFonts w:asciiTheme="minorBidi" w:hAnsiTheme="minorBidi"/>
        </w:rPr>
      </w:pPr>
      <w:r w:rsidRPr="00517EC4">
        <w:rPr>
          <w:rFonts w:asciiTheme="minorBidi" w:hAnsiTheme="minorBidi"/>
        </w:rPr>
        <w:t>The National Department of Health’s National Digital Health Strategy for South Africa 2019–2024 acknowledged the role of AI and digital platforms in healthcare transformation. However, the strategy lacked legal enforceability. As Naidoo et al observed, the policy remained “aspirational,” offering no clear regulatory path for software innovation in health.</w:t>
      </w:r>
      <w:r w:rsidR="00EE3938" w:rsidRPr="00517EC4">
        <w:rPr>
          <w:rStyle w:val="FootnoteReference"/>
          <w:rFonts w:asciiTheme="minorBidi" w:hAnsiTheme="minorBidi"/>
        </w:rPr>
        <w:footnoteReference w:id="9"/>
      </w:r>
      <w:r w:rsidR="00EE3938" w:rsidRPr="00517EC4">
        <w:rPr>
          <w:rFonts w:asciiTheme="minorBidi" w:hAnsiTheme="minorBidi"/>
        </w:rPr>
        <w:t xml:space="preserve"> </w:t>
      </w:r>
      <w:r w:rsidRPr="00517EC4">
        <w:rPr>
          <w:rFonts w:asciiTheme="minorBidi" w:hAnsiTheme="minorBidi"/>
        </w:rPr>
        <w:t>SAHPRA's 2021 Medical Device Guidelines introduced risk</w:t>
      </w:r>
      <w:r w:rsidRPr="00517EC4">
        <w:rPr>
          <w:rFonts w:ascii="Cambria Math" w:hAnsi="Cambria Math" w:cs="Cambria Math"/>
        </w:rPr>
        <w:t>‑</w:t>
      </w:r>
      <w:r w:rsidRPr="00517EC4">
        <w:rPr>
          <w:rFonts w:asciiTheme="minorBidi" w:hAnsiTheme="minorBidi"/>
        </w:rPr>
        <w:t>based classification (Classes A–D), aligning with the International Medical Device Regulators Forum (IMDRF). Still, these guidelines treated SaMD generically, without addressing issues like iterative updates, algorithmic learning, or cybersecurity risks.</w:t>
      </w:r>
      <w:r w:rsidR="00EE3938" w:rsidRPr="00517EC4">
        <w:rPr>
          <w:rFonts w:asciiTheme="minorBidi" w:hAnsiTheme="minorBidi"/>
        </w:rPr>
        <w:t xml:space="preserve"> </w:t>
      </w:r>
      <w:r w:rsidR="00EE3938" w:rsidRPr="00517EC4">
        <w:rPr>
          <w:rStyle w:val="FootnoteReference"/>
          <w:rFonts w:asciiTheme="minorBidi" w:hAnsiTheme="minorBidi"/>
        </w:rPr>
        <w:footnoteReference w:id="10"/>
      </w:r>
      <w:r w:rsidR="00EE3938" w:rsidRPr="00517EC4">
        <w:rPr>
          <w:rFonts w:asciiTheme="minorBidi" w:hAnsiTheme="minorBidi"/>
        </w:rPr>
        <w:t xml:space="preserve"> </w:t>
      </w:r>
      <w:r w:rsidRPr="00517EC4">
        <w:rPr>
          <w:rFonts w:asciiTheme="minorBidi" w:hAnsiTheme="minorBidi"/>
        </w:rPr>
        <w:t xml:space="preserve">Donnelly </w:t>
      </w:r>
      <w:r w:rsidR="00F26E24" w:rsidRPr="00517EC4">
        <w:rPr>
          <w:rFonts w:asciiTheme="minorBidi" w:hAnsiTheme="minorBidi"/>
        </w:rPr>
        <w:t>criticized</w:t>
      </w:r>
      <w:r w:rsidRPr="00517EC4">
        <w:rPr>
          <w:rFonts w:asciiTheme="minorBidi" w:hAnsiTheme="minorBidi"/>
        </w:rPr>
        <w:t xml:space="preserve"> the framework as “outdated,” particularly for failing to address machine</w:t>
      </w:r>
      <w:r w:rsidRPr="00517EC4">
        <w:rPr>
          <w:rFonts w:ascii="Cambria Math" w:hAnsi="Cambria Math" w:cs="Cambria Math"/>
        </w:rPr>
        <w:t>‑</w:t>
      </w:r>
      <w:r w:rsidRPr="00517EC4">
        <w:rPr>
          <w:rFonts w:asciiTheme="minorBidi" w:hAnsiTheme="minorBidi"/>
        </w:rPr>
        <w:t>learning models requiring continuous oversight.</w:t>
      </w:r>
      <w:r w:rsidR="00EE3938" w:rsidRPr="00517EC4">
        <w:rPr>
          <w:rStyle w:val="FootnoteReference"/>
          <w:rFonts w:asciiTheme="minorBidi" w:hAnsiTheme="minorBidi"/>
        </w:rPr>
        <w:footnoteReference w:id="11"/>
      </w:r>
      <w:r w:rsidR="00B228A3" w:rsidRPr="00517EC4">
        <w:rPr>
          <w:rFonts w:asciiTheme="minorBidi" w:hAnsiTheme="minorBidi"/>
        </w:rPr>
        <w:br/>
      </w:r>
      <w:r w:rsidR="00B228A3" w:rsidRPr="00517EC4">
        <w:rPr>
          <w:rFonts w:asciiTheme="minorBidi" w:hAnsiTheme="minorBidi"/>
        </w:rPr>
        <w:br/>
        <w:t xml:space="preserve">The COVID-19 pandemic accelerated digital health adoption, exposing </w:t>
      </w:r>
      <w:r w:rsidR="00E94A8A">
        <w:rPr>
          <w:rFonts w:asciiTheme="minorBidi" w:hAnsiTheme="minorBidi"/>
        </w:rPr>
        <w:t>the unique needs of SaMD</w:t>
      </w:r>
      <w:r w:rsidR="00B228A3" w:rsidRPr="00517EC4">
        <w:rPr>
          <w:rFonts w:asciiTheme="minorBidi" w:hAnsiTheme="minorBidi"/>
        </w:rPr>
        <w:t xml:space="preserve">. Legal studies on African device pathways, including South Africa's ventilator case studies, revealed that while SaMD was regulated under general MD rules, its software-only form demanded more agile processes for updates and cybersecurity—areas not fully addressed in hardware-focused regs. Ethics literature emphasized liability ambiguities in AI-SaMD, where errors could stem from code rather than physical failure, urging frameworks beyond traditional device oversight. </w:t>
      </w:r>
      <w:r w:rsidR="00B228A3" w:rsidRPr="00517EC4">
        <w:rPr>
          <w:rStyle w:val="FootnoteReference"/>
          <w:rFonts w:asciiTheme="minorBidi" w:hAnsiTheme="minorBidi"/>
        </w:rPr>
        <w:footnoteReference w:id="12"/>
      </w:r>
    </w:p>
    <w:p w14:paraId="3EDBABE9" w14:textId="7AC4F131" w:rsidR="00E2077E" w:rsidRPr="00BB1C89" w:rsidRDefault="00263537" w:rsidP="00BB1C89">
      <w:pPr>
        <w:pStyle w:val="Heading1"/>
        <w:ind w:left="720"/>
        <w:rPr>
          <w:rFonts w:asciiTheme="minorBidi" w:hAnsiTheme="minorBidi" w:cstheme="minorBidi"/>
          <w:color w:val="auto"/>
          <w:sz w:val="22"/>
          <w:szCs w:val="22"/>
        </w:rPr>
      </w:pPr>
      <w:bookmarkStart w:id="7" w:name="_Toc217045473"/>
      <w:r w:rsidRPr="00BB1C89">
        <w:rPr>
          <w:rFonts w:asciiTheme="minorBidi" w:hAnsiTheme="minorBidi" w:cstheme="minorBidi"/>
          <w:color w:val="auto"/>
          <w:sz w:val="22"/>
          <w:szCs w:val="22"/>
        </w:rPr>
        <w:lastRenderedPageBreak/>
        <w:t>3.</w:t>
      </w:r>
      <w:r w:rsidR="00BB1C89" w:rsidRPr="00BB1C89">
        <w:rPr>
          <w:rFonts w:asciiTheme="minorBidi" w:hAnsiTheme="minorBidi" w:cstheme="minorBidi"/>
          <w:color w:val="auto"/>
          <w:sz w:val="22"/>
          <w:szCs w:val="22"/>
        </w:rPr>
        <w:t>2.4</w:t>
      </w:r>
      <w:r w:rsidRPr="00BB1C89">
        <w:rPr>
          <w:rFonts w:asciiTheme="minorBidi" w:hAnsiTheme="minorBidi" w:cstheme="minorBidi"/>
          <w:color w:val="auto"/>
          <w:sz w:val="22"/>
          <w:szCs w:val="22"/>
        </w:rPr>
        <w:t xml:space="preserve"> 2022–2023: Academic and Legal Recognition of SaMD/</w:t>
      </w:r>
      <w:proofErr w:type="spellStart"/>
      <w:r w:rsidRPr="00BB1C89">
        <w:rPr>
          <w:rFonts w:asciiTheme="minorBidi" w:hAnsiTheme="minorBidi" w:cstheme="minorBidi"/>
          <w:color w:val="auto"/>
          <w:sz w:val="22"/>
          <w:szCs w:val="22"/>
        </w:rPr>
        <w:t>AIaMD</w:t>
      </w:r>
      <w:proofErr w:type="spellEnd"/>
      <w:r w:rsidRPr="00BB1C89">
        <w:rPr>
          <w:rFonts w:asciiTheme="minorBidi" w:hAnsiTheme="minorBidi" w:cstheme="minorBidi"/>
          <w:color w:val="auto"/>
          <w:sz w:val="22"/>
          <w:szCs w:val="22"/>
        </w:rPr>
        <w:t xml:space="preserve"> Complexity</w:t>
      </w:r>
      <w:bookmarkEnd w:id="7"/>
    </w:p>
    <w:p w14:paraId="0C5EE8F5" w14:textId="6D11F124" w:rsidR="00E2077E" w:rsidRPr="00517EC4" w:rsidRDefault="00000000" w:rsidP="00355D63">
      <w:pPr>
        <w:ind w:left="720"/>
        <w:rPr>
          <w:rFonts w:asciiTheme="minorBidi" w:hAnsiTheme="minorBidi"/>
        </w:rPr>
      </w:pPr>
      <w:r w:rsidRPr="00517EC4">
        <w:rPr>
          <w:rFonts w:asciiTheme="minorBidi" w:hAnsiTheme="minorBidi"/>
        </w:rPr>
        <w:t>Academic commentary in this period shifted from gap identification to advocacy for reform. Naidoo et al proposed specialised governance mechanisms for AIaMD, highlighting five key gaps: outdated legislation, data/algorithmic bias, workforce dislocation, unclear liability, and innovation bottlenecks.</w:t>
      </w:r>
      <w:r w:rsidR="00F26E24" w:rsidRPr="00517EC4">
        <w:rPr>
          <w:rFonts w:asciiTheme="minorBidi" w:hAnsiTheme="minorBidi"/>
        </w:rPr>
        <w:t xml:space="preserve"> </w:t>
      </w:r>
      <w:r w:rsidR="00F26E24" w:rsidRPr="00517EC4">
        <w:rPr>
          <w:rStyle w:val="FootnoteReference"/>
          <w:rFonts w:asciiTheme="minorBidi" w:hAnsiTheme="minorBidi"/>
        </w:rPr>
        <w:footnoteReference w:id="13"/>
      </w:r>
      <w:r w:rsidR="00F26E24" w:rsidRPr="00517EC4">
        <w:rPr>
          <w:rFonts w:asciiTheme="minorBidi" w:hAnsiTheme="minorBidi"/>
        </w:rPr>
        <w:t xml:space="preserve"> </w:t>
      </w:r>
      <w:r w:rsidRPr="00517EC4">
        <w:rPr>
          <w:rFonts w:asciiTheme="minorBidi" w:hAnsiTheme="minorBidi"/>
        </w:rPr>
        <w:t>Donnelly reinforced this by recommending strict liability rules and human</w:t>
      </w:r>
      <w:r w:rsidRPr="00517EC4">
        <w:rPr>
          <w:rFonts w:ascii="Cambria Math" w:hAnsi="Cambria Math" w:cs="Cambria Math"/>
        </w:rPr>
        <w:t>‑</w:t>
      </w:r>
      <w:r w:rsidRPr="00517EC4">
        <w:rPr>
          <w:rFonts w:asciiTheme="minorBidi" w:hAnsiTheme="minorBidi"/>
        </w:rPr>
        <w:t>rights</w:t>
      </w:r>
      <w:r w:rsidRPr="00517EC4">
        <w:rPr>
          <w:rFonts w:ascii="Cambria Math" w:hAnsi="Cambria Math" w:cs="Cambria Math"/>
        </w:rPr>
        <w:t>‑</w:t>
      </w:r>
      <w:r w:rsidRPr="00517EC4">
        <w:rPr>
          <w:rFonts w:asciiTheme="minorBidi" w:hAnsiTheme="minorBidi"/>
        </w:rPr>
        <w:t>based governance. The 2023 SAHPRA Guideline for a License to Manufacture, Import, Export, or Distribute Medical Devices and IVDs offered general improvements in licensing quality systems</w:t>
      </w:r>
      <w:r w:rsidR="00E94A8A">
        <w:rPr>
          <w:rFonts w:asciiTheme="minorBidi" w:hAnsiTheme="minorBidi"/>
        </w:rPr>
        <w:t>. Still, they perpetuated</w:t>
      </w:r>
      <w:r w:rsidRPr="00517EC4">
        <w:rPr>
          <w:rFonts w:asciiTheme="minorBidi" w:hAnsiTheme="minorBidi"/>
        </w:rPr>
        <w:t xml:space="preserve"> the absence of SaMD</w:t>
      </w:r>
      <w:r w:rsidRPr="00517EC4">
        <w:rPr>
          <w:rFonts w:ascii="Cambria Math" w:hAnsi="Cambria Math" w:cs="Cambria Math"/>
        </w:rPr>
        <w:t>‑</w:t>
      </w:r>
      <w:r w:rsidRPr="00517EC4">
        <w:rPr>
          <w:rFonts w:asciiTheme="minorBidi" w:hAnsiTheme="minorBidi"/>
        </w:rPr>
        <w:t>specific operational standards.</w:t>
      </w:r>
    </w:p>
    <w:p w14:paraId="301BB447" w14:textId="590D30D7" w:rsidR="00E2077E" w:rsidRPr="00517EC4" w:rsidRDefault="00000000" w:rsidP="00355D63">
      <w:pPr>
        <w:ind w:left="720"/>
        <w:rPr>
          <w:rFonts w:asciiTheme="minorBidi" w:hAnsiTheme="minorBidi"/>
        </w:rPr>
      </w:pPr>
      <w:r w:rsidRPr="00517EC4">
        <w:rPr>
          <w:rFonts w:asciiTheme="minorBidi" w:hAnsiTheme="minorBidi"/>
        </w:rPr>
        <w:t>Meanwhile, legal articles in the South African Journal of Bioethics and Law drew attention to the disjunction between regulatory ambition and technical reality. Townsend argued that South Africa’s failure to distinguish SaMD from conventional devices created systemic risks in enforcement and interpretation.</w:t>
      </w:r>
      <w:r w:rsidR="002F6C7E" w:rsidRPr="00517EC4">
        <w:rPr>
          <w:rFonts w:asciiTheme="minorBidi" w:hAnsiTheme="minorBidi"/>
        </w:rPr>
        <w:t xml:space="preserve"> </w:t>
      </w:r>
      <w:r w:rsidR="002F6C7E" w:rsidRPr="00517EC4">
        <w:rPr>
          <w:rStyle w:val="FootnoteReference"/>
          <w:rFonts w:asciiTheme="minorBidi" w:hAnsiTheme="minorBidi"/>
        </w:rPr>
        <w:footnoteReference w:id="14"/>
      </w:r>
      <w:r w:rsidR="002F6C7E" w:rsidRPr="00517EC4">
        <w:rPr>
          <w:rFonts w:asciiTheme="minorBidi" w:hAnsiTheme="minorBidi"/>
        </w:rPr>
        <w:t xml:space="preserve"> Bottemley </w:t>
      </w:r>
      <w:r w:rsidRPr="00517EC4">
        <w:rPr>
          <w:rFonts w:asciiTheme="minorBidi" w:hAnsiTheme="minorBidi"/>
        </w:rPr>
        <w:t>et al warned of the rising legal uncertainty around AI</w:t>
      </w:r>
      <w:r w:rsidRPr="00517EC4">
        <w:rPr>
          <w:rFonts w:ascii="Cambria Math" w:hAnsi="Cambria Math" w:cs="Cambria Math"/>
        </w:rPr>
        <w:t>‑</w:t>
      </w:r>
      <w:r w:rsidRPr="00517EC4">
        <w:rPr>
          <w:rFonts w:asciiTheme="minorBidi" w:hAnsiTheme="minorBidi"/>
        </w:rPr>
        <w:t>generated harm in medical contexts</w:t>
      </w:r>
      <w:r w:rsidR="00E94A8A">
        <w:rPr>
          <w:rFonts w:asciiTheme="minorBidi" w:hAnsiTheme="minorBidi"/>
        </w:rPr>
        <w:t>. They called</w:t>
      </w:r>
      <w:r w:rsidRPr="00517EC4">
        <w:rPr>
          <w:rFonts w:asciiTheme="minorBidi" w:hAnsiTheme="minorBidi"/>
        </w:rPr>
        <w:t xml:space="preserve"> for liability regimes that recognise the unique risks posed by non</w:t>
      </w:r>
      <w:r w:rsidRPr="00517EC4">
        <w:rPr>
          <w:rFonts w:ascii="Cambria Math" w:hAnsi="Cambria Math" w:cs="Cambria Math"/>
        </w:rPr>
        <w:t>‑</w:t>
      </w:r>
      <w:r w:rsidRPr="00517EC4">
        <w:rPr>
          <w:rFonts w:asciiTheme="minorBidi" w:hAnsiTheme="minorBidi"/>
        </w:rPr>
        <w:t>deterministic systems.</w:t>
      </w:r>
      <w:r w:rsidR="002F6C7E" w:rsidRPr="00517EC4">
        <w:rPr>
          <w:rStyle w:val="FootnoteReference"/>
          <w:rFonts w:asciiTheme="minorBidi" w:hAnsiTheme="minorBidi"/>
        </w:rPr>
        <w:footnoteReference w:id="15"/>
      </w:r>
    </w:p>
    <w:p w14:paraId="31DFE741" w14:textId="4939CD26" w:rsidR="00E2077E" w:rsidRPr="00BB1C89" w:rsidRDefault="00263537" w:rsidP="00BB1C89">
      <w:pPr>
        <w:pStyle w:val="Heading1"/>
        <w:ind w:firstLine="720"/>
        <w:rPr>
          <w:rFonts w:asciiTheme="minorBidi" w:hAnsiTheme="minorBidi" w:cstheme="minorBidi"/>
          <w:color w:val="auto"/>
          <w:sz w:val="22"/>
          <w:szCs w:val="22"/>
        </w:rPr>
      </w:pPr>
      <w:bookmarkStart w:id="8" w:name="_Toc217045474"/>
      <w:r w:rsidRPr="00BB1C89">
        <w:rPr>
          <w:rFonts w:asciiTheme="minorBidi" w:hAnsiTheme="minorBidi" w:cstheme="minorBidi"/>
          <w:color w:val="auto"/>
          <w:sz w:val="22"/>
          <w:szCs w:val="22"/>
        </w:rPr>
        <w:t>3.</w:t>
      </w:r>
      <w:r w:rsidR="00BB1C89" w:rsidRPr="00BB1C89">
        <w:rPr>
          <w:rFonts w:asciiTheme="minorBidi" w:hAnsiTheme="minorBidi" w:cstheme="minorBidi"/>
          <w:color w:val="auto"/>
          <w:sz w:val="22"/>
          <w:szCs w:val="22"/>
        </w:rPr>
        <w:t>2.</w:t>
      </w:r>
      <w:r w:rsidRPr="00BB1C89">
        <w:rPr>
          <w:rFonts w:asciiTheme="minorBidi" w:hAnsiTheme="minorBidi" w:cstheme="minorBidi"/>
          <w:color w:val="auto"/>
          <w:sz w:val="22"/>
          <w:szCs w:val="22"/>
        </w:rPr>
        <w:t>6 2024–2025: Toward Formal Differentiation—But AIaMD Gaps Persist</w:t>
      </w:r>
      <w:bookmarkEnd w:id="8"/>
    </w:p>
    <w:p w14:paraId="75B76BD2" w14:textId="0FE362A8" w:rsidR="00E2077E" w:rsidRPr="00517EC4" w:rsidRDefault="00000000" w:rsidP="00355D63">
      <w:pPr>
        <w:ind w:left="720"/>
        <w:rPr>
          <w:rFonts w:asciiTheme="minorBidi" w:hAnsiTheme="minorBidi"/>
        </w:rPr>
      </w:pPr>
      <w:r w:rsidRPr="00517EC4">
        <w:rPr>
          <w:rFonts w:asciiTheme="minorBidi" w:hAnsiTheme="minorBidi"/>
        </w:rPr>
        <w:t>The 2025 release of SAHPRA’s SAHPGL</w:t>
      </w:r>
      <w:r w:rsidRPr="00517EC4">
        <w:rPr>
          <w:rFonts w:ascii="Cambria Math" w:hAnsi="Cambria Math" w:cs="Cambria Math"/>
        </w:rPr>
        <w:t>‑</w:t>
      </w:r>
      <w:r w:rsidRPr="00517EC4">
        <w:rPr>
          <w:rFonts w:asciiTheme="minorBidi" w:hAnsiTheme="minorBidi"/>
        </w:rPr>
        <w:t>MD</w:t>
      </w:r>
      <w:r w:rsidRPr="00517EC4">
        <w:rPr>
          <w:rFonts w:ascii="Cambria Math" w:hAnsi="Cambria Math" w:cs="Cambria Math"/>
        </w:rPr>
        <w:t>‑</w:t>
      </w:r>
      <w:r w:rsidRPr="00517EC4">
        <w:rPr>
          <w:rFonts w:asciiTheme="minorBidi" w:hAnsiTheme="minorBidi"/>
        </w:rPr>
        <w:t>04 v5 Guideline for Classification of Medical Devices and IVDs was a turning point. It introduced a dedicated annex for standalone software and clarified SaMD classification criteria. Importantly, it mandated GS1</w:t>
      </w:r>
      <w:r w:rsidRPr="00517EC4">
        <w:rPr>
          <w:rFonts w:ascii="Cambria Math" w:hAnsi="Cambria Math" w:cs="Cambria Math"/>
        </w:rPr>
        <w:t>‑</w:t>
      </w:r>
      <w:r w:rsidRPr="00517EC4">
        <w:rPr>
          <w:rFonts w:asciiTheme="minorBidi" w:hAnsiTheme="minorBidi"/>
        </w:rPr>
        <w:t>based Unique Device Identification (UDI) by 2027, bringing South Africa closer to international best practice.</w:t>
      </w:r>
      <w:r w:rsidR="00E46028" w:rsidRPr="00517EC4">
        <w:rPr>
          <w:rFonts w:asciiTheme="minorBidi" w:hAnsiTheme="minorBidi"/>
        </w:rPr>
        <w:t xml:space="preserve"> </w:t>
      </w:r>
      <w:r w:rsidR="00E46028" w:rsidRPr="00517EC4">
        <w:rPr>
          <w:rStyle w:val="FootnoteReference"/>
          <w:rFonts w:asciiTheme="minorBidi" w:hAnsiTheme="minorBidi"/>
        </w:rPr>
        <w:footnoteReference w:id="16"/>
      </w:r>
      <w:r w:rsidR="00E46028" w:rsidRPr="00517EC4">
        <w:rPr>
          <w:rFonts w:asciiTheme="minorBidi" w:hAnsiTheme="minorBidi"/>
        </w:rPr>
        <w:t xml:space="preserve"> T</w:t>
      </w:r>
      <w:r w:rsidRPr="00517EC4">
        <w:rPr>
          <w:rFonts w:asciiTheme="minorBidi" w:hAnsiTheme="minorBidi"/>
        </w:rPr>
        <w:t>he guideline still does not provide mechanisms for managing adaptive models</w:t>
      </w:r>
      <w:r w:rsidR="00E94A8A">
        <w:rPr>
          <w:rFonts w:asciiTheme="minorBidi" w:hAnsiTheme="minorBidi"/>
        </w:rPr>
        <w:t>, such as Predetermined Change Control Plans (PCCPs),</w:t>
      </w:r>
      <w:r w:rsidR="00B228A3" w:rsidRPr="00517EC4">
        <w:rPr>
          <w:rFonts w:asciiTheme="minorBidi" w:hAnsiTheme="minorBidi"/>
        </w:rPr>
        <w:t xml:space="preserve"> </w:t>
      </w:r>
      <w:r w:rsidRPr="00517EC4">
        <w:rPr>
          <w:rFonts w:asciiTheme="minorBidi" w:hAnsiTheme="minorBidi"/>
        </w:rPr>
        <w:t xml:space="preserve">critical for </w:t>
      </w:r>
      <w:proofErr w:type="spellStart"/>
      <w:r w:rsidRPr="00517EC4">
        <w:rPr>
          <w:rFonts w:asciiTheme="minorBidi" w:hAnsiTheme="minorBidi"/>
        </w:rPr>
        <w:t>AIaMD</w:t>
      </w:r>
      <w:proofErr w:type="spellEnd"/>
      <w:r w:rsidRPr="00517EC4">
        <w:rPr>
          <w:rFonts w:asciiTheme="minorBidi" w:hAnsiTheme="minorBidi"/>
        </w:rPr>
        <w:t xml:space="preserve"> oversight.</w:t>
      </w:r>
    </w:p>
    <w:p w14:paraId="18B054DF" w14:textId="21EC9D95" w:rsidR="00E2077E" w:rsidRPr="00517EC4" w:rsidRDefault="00000000" w:rsidP="00355D63">
      <w:pPr>
        <w:ind w:left="720"/>
        <w:rPr>
          <w:rFonts w:asciiTheme="minorBidi" w:hAnsiTheme="minorBidi"/>
        </w:rPr>
      </w:pPr>
      <w:r w:rsidRPr="00517EC4">
        <w:rPr>
          <w:rFonts w:asciiTheme="minorBidi" w:hAnsiTheme="minorBidi"/>
        </w:rPr>
        <w:t xml:space="preserve">Despite these regulatory advancements, cautions that </w:t>
      </w:r>
      <w:r w:rsidR="00E94A8A">
        <w:rPr>
          <w:rFonts w:asciiTheme="minorBidi" w:hAnsiTheme="minorBidi"/>
        </w:rPr>
        <w:t xml:space="preserve">the obligations to maintain continuous compliance </w:t>
      </w:r>
      <w:r w:rsidRPr="00517EC4">
        <w:rPr>
          <w:rFonts w:asciiTheme="minorBidi" w:hAnsiTheme="minorBidi"/>
        </w:rPr>
        <w:t>remain underdeveloped.</w:t>
      </w:r>
      <w:r w:rsidR="00221699" w:rsidRPr="00517EC4">
        <w:rPr>
          <w:rFonts w:asciiTheme="minorBidi" w:hAnsiTheme="minorBidi"/>
        </w:rPr>
        <w:t xml:space="preserve">  </w:t>
      </w:r>
      <w:r w:rsidRPr="00517EC4">
        <w:rPr>
          <w:rFonts w:asciiTheme="minorBidi" w:hAnsiTheme="minorBidi"/>
        </w:rPr>
        <w:t>The need for responsive post</w:t>
      </w:r>
      <w:r w:rsidRPr="00517EC4">
        <w:rPr>
          <w:rFonts w:ascii="Cambria Math" w:hAnsi="Cambria Math" w:cs="Cambria Math"/>
        </w:rPr>
        <w:t>‑</w:t>
      </w:r>
      <w:r w:rsidRPr="00517EC4">
        <w:rPr>
          <w:rFonts w:asciiTheme="minorBidi" w:hAnsiTheme="minorBidi"/>
        </w:rPr>
        <w:t>market surveillance and differentiated lifecycle management</w:t>
      </w:r>
      <w:r w:rsidR="00B228A3" w:rsidRPr="00517EC4">
        <w:rPr>
          <w:rFonts w:asciiTheme="minorBidi" w:hAnsiTheme="minorBidi"/>
        </w:rPr>
        <w:t xml:space="preserve"> </w:t>
      </w:r>
      <w:r w:rsidRPr="00517EC4">
        <w:rPr>
          <w:rFonts w:asciiTheme="minorBidi" w:hAnsiTheme="minorBidi"/>
        </w:rPr>
        <w:t>common to the FDA and EU MDR frameworks</w:t>
      </w:r>
      <w:r w:rsidR="00B228A3" w:rsidRPr="00517EC4">
        <w:rPr>
          <w:rFonts w:asciiTheme="minorBidi" w:hAnsiTheme="minorBidi"/>
        </w:rPr>
        <w:t xml:space="preserve"> </w:t>
      </w:r>
      <w:r w:rsidRPr="00517EC4">
        <w:rPr>
          <w:rFonts w:asciiTheme="minorBidi" w:hAnsiTheme="minorBidi"/>
        </w:rPr>
        <w:t xml:space="preserve">has yet to be </w:t>
      </w:r>
      <w:r w:rsidR="00221699" w:rsidRPr="00517EC4">
        <w:rPr>
          <w:rFonts w:asciiTheme="minorBidi" w:hAnsiTheme="minorBidi"/>
        </w:rPr>
        <w:t>addressed in local regulations</w:t>
      </w:r>
      <w:r w:rsidRPr="00517EC4">
        <w:rPr>
          <w:rFonts w:asciiTheme="minorBidi" w:hAnsiTheme="minorBidi"/>
        </w:rPr>
        <w:t>. Furthermore, AIaMD</w:t>
      </w:r>
      <w:r w:rsidRPr="00517EC4">
        <w:rPr>
          <w:rFonts w:ascii="Cambria Math" w:hAnsi="Cambria Math" w:cs="Cambria Math"/>
        </w:rPr>
        <w:t>‑</w:t>
      </w:r>
      <w:r w:rsidRPr="00517EC4">
        <w:rPr>
          <w:rFonts w:asciiTheme="minorBidi" w:hAnsiTheme="minorBidi"/>
        </w:rPr>
        <w:t>specific risks like model drift, generative unpredictability, and context</w:t>
      </w:r>
      <w:r w:rsidRPr="00517EC4">
        <w:rPr>
          <w:rFonts w:ascii="Cambria Math" w:hAnsi="Cambria Math" w:cs="Cambria Math"/>
        </w:rPr>
        <w:t>‑</w:t>
      </w:r>
      <w:r w:rsidRPr="00517EC4">
        <w:rPr>
          <w:rFonts w:asciiTheme="minorBidi" w:hAnsiTheme="minorBidi"/>
        </w:rPr>
        <w:t>sensitive bias are still not addressed in the existing guidelines.</w:t>
      </w:r>
    </w:p>
    <w:p w14:paraId="7A2D743A" w14:textId="77777777" w:rsidR="00B11B94" w:rsidRPr="00517EC4" w:rsidRDefault="00B11B94" w:rsidP="00355D63">
      <w:pPr>
        <w:ind w:left="720"/>
        <w:rPr>
          <w:rFonts w:asciiTheme="minorBidi" w:hAnsiTheme="minorBidi"/>
        </w:rPr>
      </w:pPr>
    </w:p>
    <w:p w14:paraId="30BB4563" w14:textId="77777777" w:rsidR="00B11B94" w:rsidRPr="00517EC4" w:rsidRDefault="00B11B94">
      <w:pPr>
        <w:rPr>
          <w:rFonts w:asciiTheme="minorBidi" w:hAnsiTheme="minorBidi"/>
        </w:rPr>
      </w:pPr>
    </w:p>
    <w:p w14:paraId="733C5BB0" w14:textId="197E79FD" w:rsidR="0064538B" w:rsidRPr="00960028" w:rsidRDefault="00355D63" w:rsidP="0064538B">
      <w:pPr>
        <w:pStyle w:val="Heading1"/>
        <w:rPr>
          <w:rFonts w:asciiTheme="minorBidi" w:hAnsiTheme="minorBidi" w:cstheme="minorBidi"/>
          <w:color w:val="auto"/>
          <w:sz w:val="24"/>
          <w:szCs w:val="24"/>
        </w:rPr>
      </w:pPr>
      <w:bookmarkStart w:id="9" w:name="_Toc217045475"/>
      <w:proofErr w:type="gramStart"/>
      <w:r w:rsidRPr="00960028">
        <w:rPr>
          <w:rFonts w:asciiTheme="minorBidi" w:hAnsiTheme="minorBidi" w:cstheme="minorBidi"/>
          <w:color w:val="auto"/>
          <w:sz w:val="24"/>
          <w:szCs w:val="24"/>
        </w:rPr>
        <w:t>3.</w:t>
      </w:r>
      <w:r w:rsidR="00BB1C89" w:rsidRPr="00960028">
        <w:rPr>
          <w:rFonts w:asciiTheme="minorBidi" w:hAnsiTheme="minorBidi" w:cstheme="minorBidi"/>
          <w:color w:val="auto"/>
          <w:sz w:val="24"/>
          <w:szCs w:val="24"/>
        </w:rPr>
        <w:t>3</w:t>
      </w:r>
      <w:r w:rsidRPr="00960028">
        <w:rPr>
          <w:rFonts w:asciiTheme="minorBidi" w:hAnsiTheme="minorBidi" w:cstheme="minorBidi"/>
          <w:color w:val="auto"/>
          <w:sz w:val="24"/>
          <w:szCs w:val="24"/>
        </w:rPr>
        <w:t xml:space="preserve"> </w:t>
      </w:r>
      <w:r w:rsidR="0064538B" w:rsidRPr="00960028">
        <w:rPr>
          <w:rFonts w:asciiTheme="minorBidi" w:hAnsiTheme="minorBidi" w:cstheme="minorBidi"/>
          <w:color w:val="auto"/>
          <w:sz w:val="24"/>
          <w:szCs w:val="24"/>
        </w:rPr>
        <w:t xml:space="preserve"> Interdisciplinary</w:t>
      </w:r>
      <w:proofErr w:type="gramEnd"/>
      <w:r w:rsidR="0064538B" w:rsidRPr="00960028">
        <w:rPr>
          <w:rFonts w:asciiTheme="minorBidi" w:hAnsiTheme="minorBidi" w:cstheme="minorBidi"/>
          <w:color w:val="auto"/>
          <w:sz w:val="24"/>
          <w:szCs w:val="24"/>
        </w:rPr>
        <w:t xml:space="preserve"> Commentary and Comparative Context</w:t>
      </w:r>
      <w:bookmarkEnd w:id="9"/>
    </w:p>
    <w:p w14:paraId="689E5C29" w14:textId="77777777" w:rsidR="00960028" w:rsidRDefault="00960028" w:rsidP="00960028"/>
    <w:p w14:paraId="63BEF160" w14:textId="3FE25331" w:rsidR="00355D63" w:rsidRPr="00960028" w:rsidRDefault="00BB1C89" w:rsidP="00960028">
      <w:pPr>
        <w:rPr>
          <w:rFonts w:asciiTheme="minorBidi" w:hAnsiTheme="minorBidi"/>
        </w:rPr>
      </w:pPr>
      <w:r w:rsidRPr="00960028">
        <w:rPr>
          <w:rFonts w:asciiTheme="minorBidi" w:hAnsiTheme="minorBidi"/>
        </w:rPr>
        <w:t xml:space="preserve">The assessment of regulatory readiness is a subject of robust academic debate. Key South African scholars argue that the current regime's gatekeeping model is insufficient for the risks posed by AI. </w:t>
      </w:r>
      <w:r w:rsidR="0064538B" w:rsidRPr="00960028">
        <w:rPr>
          <w:rFonts w:asciiTheme="minorBidi" w:hAnsiTheme="minorBidi"/>
        </w:rPr>
        <w:t xml:space="preserve">Legal and medical commentators increasingly intersect in their analysis. Mars and Scott </w:t>
      </w:r>
      <w:proofErr w:type="spellStart"/>
      <w:r w:rsidR="0064538B" w:rsidRPr="00960028">
        <w:rPr>
          <w:rFonts w:asciiTheme="minorBidi" w:hAnsiTheme="minorBidi"/>
        </w:rPr>
        <w:t>emphasised</w:t>
      </w:r>
      <w:proofErr w:type="spellEnd"/>
      <w:r w:rsidR="0064538B" w:rsidRPr="00960028">
        <w:rPr>
          <w:rFonts w:asciiTheme="minorBidi" w:hAnsiTheme="minorBidi"/>
        </w:rPr>
        <w:t xml:space="preserve"> that while digital health technologies have enormous potential for underserved areas, South Africa’s dual health system could exacerbate inequalities if regulation remains reactive rather than proactive. </w:t>
      </w:r>
      <w:r w:rsidR="00E76DED" w:rsidRPr="00960028">
        <w:rPr>
          <w:rStyle w:val="FootnoteReference"/>
          <w:rFonts w:asciiTheme="minorBidi" w:hAnsiTheme="minorBidi"/>
          <w:b/>
          <w:bCs/>
        </w:rPr>
        <w:footnoteReference w:id="17"/>
      </w:r>
      <w:r w:rsidR="0064538B" w:rsidRPr="00960028">
        <w:rPr>
          <w:rStyle w:val="FootnoteReference"/>
          <w:rFonts w:asciiTheme="minorBidi" w:hAnsiTheme="minorBidi"/>
        </w:rPr>
        <w:footnoteReference w:id="18"/>
      </w:r>
      <w:r w:rsidR="0064538B" w:rsidRPr="00960028">
        <w:rPr>
          <w:rFonts w:asciiTheme="minorBidi" w:hAnsiTheme="minorBidi"/>
        </w:rPr>
        <w:t xml:space="preserve"> Comparative work by Naidoo et al and Townsend recommends closer alignment with the EU’s risk</w:t>
      </w:r>
      <w:r w:rsidR="0064538B" w:rsidRPr="00960028">
        <w:rPr>
          <w:rFonts w:ascii="Cambria Math" w:hAnsi="Cambria Math" w:cs="Cambria Math"/>
        </w:rPr>
        <w:t>‑</w:t>
      </w:r>
      <w:r w:rsidR="0064538B" w:rsidRPr="00960028">
        <w:rPr>
          <w:rFonts w:asciiTheme="minorBidi" w:hAnsiTheme="minorBidi"/>
        </w:rPr>
        <w:t xml:space="preserve">based classification system and the FDA’s software lifecycle protocols. </w:t>
      </w:r>
      <w:r w:rsidR="0064538B" w:rsidRPr="00960028">
        <w:rPr>
          <w:rStyle w:val="FootnoteReference"/>
          <w:rFonts w:asciiTheme="minorBidi" w:hAnsiTheme="minorBidi"/>
        </w:rPr>
        <w:footnoteReference w:id="19"/>
      </w:r>
      <w:r w:rsidR="0064538B" w:rsidRPr="00960028">
        <w:rPr>
          <w:rFonts w:asciiTheme="minorBidi" w:hAnsiTheme="minorBidi"/>
        </w:rPr>
        <w:t xml:space="preserve"> The absence of a dedicated AI Act—analogous to the EU’s 2023 regulation—places South Africa at a disadvantage in terms of legal certainty, especially for innovators seeking international equivalency.</w:t>
      </w:r>
      <w:r w:rsidR="0064538B" w:rsidRPr="00960028">
        <w:rPr>
          <w:rFonts w:asciiTheme="minorBidi" w:hAnsiTheme="minorBidi"/>
        </w:rPr>
        <w:br/>
      </w:r>
    </w:p>
    <w:p w14:paraId="6CD55DC7" w14:textId="1D1F939D" w:rsidR="0064538B" w:rsidRDefault="0064538B" w:rsidP="00355D63">
      <w:pPr>
        <w:pStyle w:val="Heading1"/>
        <w:rPr>
          <w:rFonts w:asciiTheme="minorBidi" w:hAnsiTheme="minorBidi" w:cstheme="minorBidi"/>
          <w:color w:val="auto"/>
          <w:sz w:val="24"/>
          <w:szCs w:val="24"/>
        </w:rPr>
      </w:pPr>
      <w:r w:rsidRPr="00517EC4">
        <w:rPr>
          <w:rFonts w:asciiTheme="minorBidi" w:hAnsiTheme="minorBidi" w:cstheme="minorBidi"/>
          <w:color w:val="auto"/>
          <w:sz w:val="22"/>
          <w:szCs w:val="22"/>
        </w:rPr>
        <w:br/>
      </w:r>
      <w:bookmarkStart w:id="10" w:name="_Toc217045476"/>
      <w:proofErr w:type="gramStart"/>
      <w:r w:rsidR="00355D63" w:rsidRPr="00960028">
        <w:rPr>
          <w:rFonts w:asciiTheme="minorBidi" w:hAnsiTheme="minorBidi" w:cstheme="minorBidi"/>
          <w:color w:val="auto"/>
          <w:sz w:val="24"/>
          <w:szCs w:val="24"/>
        </w:rPr>
        <w:t>3.</w:t>
      </w:r>
      <w:r w:rsidR="00BB1C89" w:rsidRPr="00960028">
        <w:rPr>
          <w:rFonts w:asciiTheme="minorBidi" w:hAnsiTheme="minorBidi" w:cstheme="minorBidi"/>
          <w:color w:val="auto"/>
          <w:sz w:val="24"/>
          <w:szCs w:val="24"/>
        </w:rPr>
        <w:t>4</w:t>
      </w:r>
      <w:r w:rsidR="00355D63" w:rsidRPr="00960028">
        <w:rPr>
          <w:rFonts w:asciiTheme="minorBidi" w:hAnsiTheme="minorBidi" w:cstheme="minorBidi"/>
          <w:color w:val="auto"/>
          <w:sz w:val="24"/>
          <w:szCs w:val="24"/>
        </w:rPr>
        <w:t xml:space="preserve"> </w:t>
      </w:r>
      <w:r w:rsidRPr="00960028">
        <w:rPr>
          <w:rFonts w:asciiTheme="minorBidi" w:hAnsiTheme="minorBidi" w:cstheme="minorBidi"/>
          <w:color w:val="auto"/>
          <w:sz w:val="24"/>
          <w:szCs w:val="24"/>
        </w:rPr>
        <w:t xml:space="preserve"> SAHPRA</w:t>
      </w:r>
      <w:proofErr w:type="gramEnd"/>
      <w:r w:rsidRPr="00960028">
        <w:rPr>
          <w:rFonts w:asciiTheme="minorBidi" w:hAnsiTheme="minorBidi" w:cstheme="minorBidi"/>
          <w:color w:val="auto"/>
          <w:sz w:val="24"/>
          <w:szCs w:val="24"/>
        </w:rPr>
        <w:t xml:space="preserve"> AU Collaboration</w:t>
      </w:r>
      <w:bookmarkEnd w:id="10"/>
    </w:p>
    <w:p w14:paraId="2B0311E8" w14:textId="77777777" w:rsidR="00960028" w:rsidRPr="00960028" w:rsidRDefault="00960028" w:rsidP="00960028"/>
    <w:p w14:paraId="521104B4" w14:textId="20473418" w:rsidR="0064538B" w:rsidRPr="00960028" w:rsidRDefault="0064538B" w:rsidP="00960028">
      <w:pPr>
        <w:rPr>
          <w:rFonts w:asciiTheme="minorBidi" w:hAnsiTheme="minorBidi"/>
        </w:rPr>
      </w:pPr>
      <w:r w:rsidRPr="00960028">
        <w:rPr>
          <w:rFonts w:asciiTheme="minorBidi" w:hAnsiTheme="minorBidi"/>
        </w:rPr>
        <w:t xml:space="preserve">With the global emergence of regulations to </w:t>
      </w:r>
      <w:r w:rsidR="00E94A8A" w:rsidRPr="00960028">
        <w:rPr>
          <w:rFonts w:asciiTheme="minorBidi" w:hAnsiTheme="minorBidi"/>
        </w:rPr>
        <w:t>address SaMD/</w:t>
      </w:r>
      <w:proofErr w:type="spellStart"/>
      <w:r w:rsidR="00E94A8A" w:rsidRPr="00960028">
        <w:rPr>
          <w:rFonts w:asciiTheme="minorBidi" w:hAnsiTheme="minorBidi"/>
        </w:rPr>
        <w:t>AIaMd</w:t>
      </w:r>
      <w:proofErr w:type="spellEnd"/>
      <w:r w:rsidR="00E94A8A" w:rsidRPr="00960028">
        <w:rPr>
          <w:rFonts w:asciiTheme="minorBidi" w:hAnsiTheme="minorBidi"/>
        </w:rPr>
        <w:t xml:space="preserve">, </w:t>
      </w:r>
      <w:r w:rsidRPr="00960028">
        <w:rPr>
          <w:rFonts w:asciiTheme="minorBidi" w:hAnsiTheme="minorBidi"/>
        </w:rPr>
        <w:t xml:space="preserve">SAHPRA is also pursuing regulatory convergence through African Union (AU) platforms—principally the African Medicines Regulatory Harmonisation (AMRH) programme and its devices arm, the African Medical Devices Forum (AMDF). </w:t>
      </w:r>
      <w:r w:rsidRPr="00960028">
        <w:rPr>
          <w:rStyle w:val="FootnoteReference"/>
          <w:rFonts w:asciiTheme="minorBidi" w:hAnsiTheme="minorBidi"/>
        </w:rPr>
        <w:footnoteReference w:id="20"/>
      </w:r>
    </w:p>
    <w:p w14:paraId="71EE56E3" w14:textId="75AB936D" w:rsidR="0064538B" w:rsidRPr="00517EC4" w:rsidRDefault="0064538B" w:rsidP="00960028">
      <w:r w:rsidRPr="00960028">
        <w:rPr>
          <w:rFonts w:asciiTheme="minorBidi" w:hAnsiTheme="minorBidi"/>
        </w:rPr>
        <w:t>AMRH, launched in 2009 under AUDA</w:t>
      </w:r>
      <w:r w:rsidRPr="00960028">
        <w:rPr>
          <w:rFonts w:ascii="Cambria Math" w:hAnsi="Cambria Math" w:cs="Cambria Math"/>
        </w:rPr>
        <w:t>‑</w:t>
      </w:r>
      <w:r w:rsidRPr="00960028">
        <w:rPr>
          <w:rFonts w:asciiTheme="minorBidi" w:hAnsiTheme="minorBidi"/>
        </w:rPr>
        <w:t xml:space="preserve">NEPAD, </w:t>
      </w:r>
      <w:r w:rsidR="00E94A8A" w:rsidRPr="00960028">
        <w:rPr>
          <w:rFonts w:asciiTheme="minorBidi" w:hAnsiTheme="minorBidi"/>
        </w:rPr>
        <w:t xml:space="preserve">intended </w:t>
      </w:r>
      <w:r w:rsidRPr="00960028">
        <w:rPr>
          <w:rFonts w:asciiTheme="minorBidi" w:hAnsiTheme="minorBidi"/>
        </w:rPr>
        <w:t xml:space="preserve">to address fragmented regulatory systems across the continent by coordinating harmonization through Regional Economic Communities and AU technical </w:t>
      </w:r>
      <w:proofErr w:type="gramStart"/>
      <w:r w:rsidRPr="00960028">
        <w:rPr>
          <w:rFonts w:asciiTheme="minorBidi" w:hAnsiTheme="minorBidi"/>
        </w:rPr>
        <w:t>committees.¹</w:t>
      </w:r>
      <w:proofErr w:type="gramEnd"/>
      <w:r w:rsidRPr="00960028">
        <w:rPr>
          <w:rFonts w:asciiTheme="minorBidi" w:hAnsiTheme="minorBidi"/>
        </w:rPr>
        <w:t xml:space="preserve"> AMDF, created in 2012</w:t>
      </w:r>
      <w:r w:rsidR="00E94A8A" w:rsidRPr="00960028">
        <w:rPr>
          <w:rFonts w:asciiTheme="minorBidi" w:hAnsiTheme="minorBidi"/>
        </w:rPr>
        <w:t>,</w:t>
      </w:r>
      <w:r w:rsidRPr="00960028">
        <w:rPr>
          <w:rFonts w:asciiTheme="minorBidi" w:hAnsiTheme="minorBidi"/>
        </w:rPr>
        <w:t xml:space="preserve"> is the AMRH technical committee for devices and IVDs. The mission </w:t>
      </w:r>
      <w:proofErr w:type="gramStart"/>
      <w:r w:rsidRPr="00960028">
        <w:rPr>
          <w:rFonts w:asciiTheme="minorBidi" w:hAnsiTheme="minorBidi"/>
        </w:rPr>
        <w:t>is  “</w:t>
      </w:r>
      <w:proofErr w:type="gramEnd"/>
      <w:r w:rsidRPr="00960028">
        <w:rPr>
          <w:rFonts w:asciiTheme="minorBidi" w:hAnsiTheme="minorBidi"/>
        </w:rPr>
        <w:t xml:space="preserve">to study and recommend ways to harmonize medical devices and diagnostics regulation in Africa,” and to create a framework for harmonization based on the WHO Global Model for </w:t>
      </w:r>
      <w:r w:rsidRPr="00960028">
        <w:rPr>
          <w:rFonts w:asciiTheme="minorBidi" w:hAnsiTheme="minorBidi"/>
        </w:rPr>
        <w:lastRenderedPageBreak/>
        <w:t>Medical Devices Regulatory Framework.</w:t>
      </w:r>
      <w:r w:rsidRPr="00960028">
        <w:rPr>
          <w:rStyle w:val="FootnoteReference"/>
          <w:rFonts w:asciiTheme="minorBidi" w:hAnsiTheme="minorBidi"/>
        </w:rPr>
        <w:footnoteReference w:id="21"/>
      </w:r>
      <w:r w:rsidRPr="00960028">
        <w:rPr>
          <w:rFonts w:asciiTheme="minorBidi" w:hAnsiTheme="minorBidi"/>
        </w:rPr>
        <w:br/>
      </w:r>
      <w:r w:rsidRPr="00517EC4">
        <w:br/>
        <w:t>AMDF’s 2024 guidelines provide concrete alignment points for SAHPRA. The Guidelines on Requirements on Labelling of Medical Devices Including In Vitro Diagnostic Medical Devices (2024) state: “This document applies to all medical devices, including IVDs,” and that labelling documents “should be developed and evaluated using risk management principles and usability engineering processes.”</w:t>
      </w:r>
      <w:r w:rsidRPr="00517EC4">
        <w:rPr>
          <w:rStyle w:val="FootnoteReference"/>
          <w:rFonts w:asciiTheme="minorBidi" w:hAnsiTheme="minorBidi"/>
        </w:rPr>
        <w:footnoteReference w:id="22"/>
      </w:r>
      <w:r w:rsidRPr="00517EC4">
        <w:t xml:space="preserve"> The guideline further recognises traceability tools, noting that “the NRA may require the Unique Device Identification (UDI)” and</w:t>
      </w:r>
      <w:r w:rsidR="00E94A8A">
        <w:t xml:space="preserve"> that, for </w:t>
      </w:r>
      <w:proofErr w:type="spellStart"/>
      <w:r w:rsidR="00E94A8A">
        <w:t>implantables</w:t>
      </w:r>
      <w:proofErr w:type="spellEnd"/>
      <w:r w:rsidR="00E94A8A">
        <w:t xml:space="preserve">, </w:t>
      </w:r>
      <w:r w:rsidRPr="00517EC4">
        <w:t>the UDI should be scannable prior to implantation.  These guidelines</w:t>
      </w:r>
      <w:r w:rsidR="00E94A8A">
        <w:t>, whilst comprehensive,</w:t>
      </w:r>
      <w:r w:rsidRPr="00517EC4">
        <w:t xml:space="preserve"> are not </w:t>
      </w:r>
      <w:r w:rsidR="00E94A8A">
        <w:t>specific to SaMD/</w:t>
      </w:r>
      <w:proofErr w:type="spellStart"/>
      <w:r w:rsidR="00E94A8A">
        <w:t>AIaMD</w:t>
      </w:r>
      <w:proofErr w:type="spellEnd"/>
      <w:r w:rsidRPr="00517EC4">
        <w:t xml:space="preserve">. </w:t>
      </w:r>
      <w:r w:rsidRPr="00517EC4">
        <w:br/>
      </w:r>
    </w:p>
    <w:p w14:paraId="5F883913" w14:textId="038A1C55" w:rsidR="0064538B" w:rsidRPr="00517EC4" w:rsidRDefault="0064538B" w:rsidP="00355D63">
      <w:pPr>
        <w:pStyle w:val="FirstParagraph"/>
        <w:ind w:left="720"/>
        <w:rPr>
          <w:rFonts w:asciiTheme="minorBidi" w:hAnsiTheme="minorBidi"/>
          <w:sz w:val="22"/>
          <w:szCs w:val="22"/>
        </w:rPr>
      </w:pPr>
      <w:r w:rsidRPr="00517EC4">
        <w:rPr>
          <w:rFonts w:asciiTheme="minorBidi" w:hAnsiTheme="minorBidi"/>
          <w:sz w:val="22"/>
          <w:szCs w:val="22"/>
        </w:rPr>
        <w:t>On 5 February 2025, AUDA</w:t>
      </w:r>
      <w:r w:rsidRPr="00517EC4">
        <w:rPr>
          <w:rFonts w:ascii="Cambria Math" w:hAnsi="Cambria Math" w:cs="Cambria Math"/>
          <w:sz w:val="22"/>
          <w:szCs w:val="22"/>
        </w:rPr>
        <w:t>‑</w:t>
      </w:r>
      <w:r w:rsidRPr="00517EC4">
        <w:rPr>
          <w:rFonts w:asciiTheme="minorBidi" w:hAnsiTheme="minorBidi"/>
          <w:sz w:val="22"/>
          <w:szCs w:val="22"/>
        </w:rPr>
        <w:t>NEPAD and Africa CDC announced a Memorandum of Understanding among WHO Maturity Level 3 (ML3) NRAs, including SAHPRA. The news release explains that the MoU’s objective is “to establish a structured framework for reliance on regulatory decisions to expedite the approval processes for medicines, vaccines, and medical devices,” with information</w:t>
      </w:r>
      <w:r w:rsidRPr="00517EC4">
        <w:rPr>
          <w:rFonts w:ascii="Cambria Math" w:hAnsi="Cambria Math" w:cs="Cambria Math"/>
          <w:sz w:val="22"/>
          <w:szCs w:val="22"/>
        </w:rPr>
        <w:t>‑</w:t>
      </w:r>
      <w:r w:rsidRPr="00517EC4">
        <w:rPr>
          <w:rFonts w:asciiTheme="minorBidi" w:hAnsiTheme="minorBidi"/>
          <w:sz w:val="22"/>
          <w:szCs w:val="22"/>
        </w:rPr>
        <w:t>sharing and work</w:t>
      </w:r>
      <w:r w:rsidRPr="00517EC4">
        <w:rPr>
          <w:rFonts w:ascii="Cambria Math" w:hAnsi="Cambria Math" w:cs="Cambria Math"/>
          <w:sz w:val="22"/>
          <w:szCs w:val="22"/>
        </w:rPr>
        <w:t>‑</w:t>
      </w:r>
      <w:r w:rsidRPr="00517EC4">
        <w:rPr>
          <w:rFonts w:asciiTheme="minorBidi" w:hAnsiTheme="minorBidi"/>
          <w:sz w:val="22"/>
          <w:szCs w:val="22"/>
        </w:rPr>
        <w:t xml:space="preserve">sharing. </w:t>
      </w:r>
      <w:r w:rsidRPr="00517EC4">
        <w:rPr>
          <w:rStyle w:val="FootnoteReference"/>
          <w:rFonts w:asciiTheme="minorBidi" w:hAnsiTheme="minorBidi"/>
          <w:sz w:val="22"/>
          <w:szCs w:val="22"/>
        </w:rPr>
        <w:footnoteReference w:id="23"/>
      </w:r>
      <w:r w:rsidRPr="00517EC4">
        <w:rPr>
          <w:rFonts w:asciiTheme="minorBidi" w:hAnsiTheme="minorBidi"/>
          <w:sz w:val="22"/>
          <w:szCs w:val="22"/>
        </w:rPr>
        <w:t xml:space="preserve">  For South Africa, this is a practical bridge between national decisions and regional c</w:t>
      </w:r>
      <w:bookmarkStart w:id="11" w:name="_Hlk205807016"/>
      <w:r w:rsidRPr="00517EC4">
        <w:rPr>
          <w:rFonts w:asciiTheme="minorBidi" w:hAnsiTheme="minorBidi"/>
          <w:sz w:val="22"/>
          <w:szCs w:val="22"/>
        </w:rPr>
        <w:t xml:space="preserve">ooperation. </w:t>
      </w:r>
    </w:p>
    <w:bookmarkEnd w:id="11"/>
    <w:p w14:paraId="1242CAA2" w14:textId="090C2C9E" w:rsidR="00E2077E" w:rsidRPr="00517EC4" w:rsidRDefault="0064538B" w:rsidP="00355D63">
      <w:pPr>
        <w:pStyle w:val="FirstParagraph"/>
        <w:ind w:left="720"/>
        <w:rPr>
          <w:rFonts w:asciiTheme="minorBidi" w:hAnsiTheme="minorBidi"/>
        </w:rPr>
      </w:pPr>
      <w:r w:rsidRPr="00517EC4">
        <w:rPr>
          <w:rFonts w:asciiTheme="minorBidi" w:hAnsiTheme="minorBidi"/>
          <w:sz w:val="22"/>
          <w:szCs w:val="22"/>
        </w:rPr>
        <w:t>The AMA  advanced in 2025 with the appointment of the inaugural Director</w:t>
      </w:r>
      <w:r w:rsidRPr="00517EC4">
        <w:rPr>
          <w:rFonts w:ascii="Cambria Math" w:hAnsi="Cambria Math" w:cs="Cambria Math"/>
          <w:sz w:val="22"/>
          <w:szCs w:val="22"/>
        </w:rPr>
        <w:t>‑</w:t>
      </w:r>
      <w:r w:rsidRPr="00517EC4">
        <w:rPr>
          <w:rFonts w:asciiTheme="minorBidi" w:hAnsiTheme="minorBidi"/>
          <w:sz w:val="22"/>
          <w:szCs w:val="22"/>
        </w:rPr>
        <w:t xml:space="preserve">General, Dr Delese Mimi Darko (Ghana), on 4 June 2025. </w:t>
      </w:r>
      <w:r w:rsidRPr="00517EC4">
        <w:rPr>
          <w:rStyle w:val="FootnoteReference"/>
          <w:rFonts w:asciiTheme="minorBidi" w:hAnsiTheme="minorBidi"/>
          <w:sz w:val="22"/>
          <w:szCs w:val="22"/>
        </w:rPr>
        <w:footnoteReference w:id="24"/>
      </w:r>
      <w:r w:rsidRPr="00517EC4">
        <w:rPr>
          <w:rFonts w:asciiTheme="minorBidi" w:hAnsiTheme="minorBidi"/>
          <w:sz w:val="22"/>
          <w:szCs w:val="22"/>
        </w:rPr>
        <w:t xml:space="preserve"> AMA is intended to strengthen national and regional regulatory capacity and to coordinate harmonised pathways across medicines and medical devices.   SAHPRA’s 2025/26 planning documents expressly note the strategic intent to increase its influence within the AMA to harmonize regulatory </w:t>
      </w:r>
      <w:proofErr w:type="gramStart"/>
      <w:r w:rsidRPr="00517EC4">
        <w:rPr>
          <w:rFonts w:asciiTheme="minorBidi" w:hAnsiTheme="minorBidi"/>
          <w:sz w:val="22"/>
          <w:szCs w:val="22"/>
        </w:rPr>
        <w:t>standards,</w:t>
      </w:r>
      <w:r w:rsidR="00E94A8A">
        <w:rPr>
          <w:rFonts w:asciiTheme="minorBidi" w:hAnsiTheme="minorBidi"/>
          <w:sz w:val="22"/>
          <w:szCs w:val="22"/>
        </w:rPr>
        <w:t xml:space="preserve"> but</w:t>
      </w:r>
      <w:proofErr w:type="gramEnd"/>
      <w:r w:rsidR="00E94A8A">
        <w:rPr>
          <w:rFonts w:asciiTheme="minorBidi" w:hAnsiTheme="minorBidi"/>
          <w:sz w:val="22"/>
          <w:szCs w:val="22"/>
        </w:rPr>
        <w:t xml:space="preserve"> also note</w:t>
      </w:r>
      <w:r w:rsidRPr="00517EC4">
        <w:rPr>
          <w:rFonts w:asciiTheme="minorBidi" w:hAnsiTheme="minorBidi"/>
          <w:sz w:val="22"/>
          <w:szCs w:val="22"/>
        </w:rPr>
        <w:t xml:space="preserve"> </w:t>
      </w:r>
      <w:r w:rsidR="00E94A8A">
        <w:rPr>
          <w:rFonts w:asciiTheme="minorBidi" w:hAnsiTheme="minorBidi"/>
          <w:sz w:val="22"/>
          <w:szCs w:val="22"/>
        </w:rPr>
        <w:t>an essential</w:t>
      </w:r>
      <w:r w:rsidRPr="00517EC4">
        <w:rPr>
          <w:rFonts w:asciiTheme="minorBidi" w:hAnsiTheme="minorBidi"/>
          <w:sz w:val="22"/>
          <w:szCs w:val="22"/>
        </w:rPr>
        <w:t xml:space="preserve"> legal constraint: “It must be noted that South Africa has still not ratified the [AMA] treaty. This presents a risk for SAHPRA since it may not have the legal basis to recognise decisions of AMA.”</w:t>
      </w:r>
      <w:r w:rsidRPr="00517EC4">
        <w:rPr>
          <w:rFonts w:asciiTheme="minorBidi" w:hAnsiTheme="minorBidi"/>
          <w:b/>
          <w:bCs/>
          <w:sz w:val="22"/>
          <w:szCs w:val="22"/>
        </w:rPr>
        <w:t xml:space="preserve"> </w:t>
      </w:r>
      <w:bookmarkStart w:id="12" w:name="_Ref215927877"/>
      <w:r w:rsidRPr="00517EC4">
        <w:rPr>
          <w:rStyle w:val="FootnoteReference"/>
          <w:rFonts w:asciiTheme="minorBidi" w:hAnsiTheme="minorBidi"/>
          <w:b/>
          <w:bCs/>
          <w:sz w:val="22"/>
          <w:szCs w:val="22"/>
        </w:rPr>
        <w:footnoteReference w:id="25"/>
      </w:r>
      <w:bookmarkEnd w:id="12"/>
      <w:r w:rsidRPr="00517EC4">
        <w:rPr>
          <w:rFonts w:asciiTheme="minorBidi" w:hAnsiTheme="minorBidi"/>
          <w:b/>
          <w:bCs/>
          <w:sz w:val="22"/>
          <w:szCs w:val="22"/>
        </w:rPr>
        <w:t xml:space="preserve"> </w:t>
      </w:r>
      <w:r w:rsidR="00667ED0">
        <w:rPr>
          <w:rStyle w:val="FootnoteReference"/>
          <w:rFonts w:asciiTheme="minorBidi" w:hAnsiTheme="minorBidi"/>
          <w:b/>
          <w:bCs/>
          <w:sz w:val="22"/>
          <w:szCs w:val="22"/>
        </w:rPr>
        <w:footnoteReference w:id="26"/>
      </w:r>
      <w:r w:rsidRPr="00517EC4">
        <w:rPr>
          <w:rFonts w:asciiTheme="minorBidi" w:hAnsiTheme="minorBidi"/>
          <w:b/>
          <w:bCs/>
          <w:sz w:val="22"/>
          <w:szCs w:val="22"/>
        </w:rPr>
        <w:t xml:space="preserve">  </w:t>
      </w:r>
      <w:r w:rsidRPr="00517EC4">
        <w:rPr>
          <w:rFonts w:asciiTheme="minorBidi" w:hAnsiTheme="minorBidi"/>
          <w:b/>
          <w:bCs/>
          <w:sz w:val="22"/>
          <w:szCs w:val="22"/>
        </w:rPr>
        <w:br/>
      </w:r>
      <w:r w:rsidRPr="00517EC4">
        <w:rPr>
          <w:rFonts w:asciiTheme="minorBidi" w:hAnsiTheme="minorBidi"/>
          <w:b/>
          <w:bCs/>
          <w:sz w:val="22"/>
          <w:szCs w:val="22"/>
        </w:rPr>
        <w:lastRenderedPageBreak/>
        <w:br/>
      </w:r>
      <w:r w:rsidRPr="00517EC4">
        <w:rPr>
          <w:rFonts w:asciiTheme="minorBidi" w:hAnsiTheme="minorBidi"/>
          <w:sz w:val="22"/>
          <w:szCs w:val="22"/>
        </w:rPr>
        <w:t xml:space="preserve">It is important to note that the AU regional harmonization operationalization </w:t>
      </w:r>
      <w:r w:rsidR="00040D5E" w:rsidRPr="00517EC4">
        <w:rPr>
          <w:rFonts w:asciiTheme="minorBidi" w:hAnsiTheme="minorBidi"/>
          <w:sz w:val="22"/>
          <w:szCs w:val="22"/>
        </w:rPr>
        <w:t xml:space="preserve">includes both medicinal and medical devices, but it is not specific to SaMD/AIaMD.  </w:t>
      </w:r>
      <w:r w:rsidRPr="00517EC4">
        <w:rPr>
          <w:rFonts w:asciiTheme="minorBidi" w:hAnsiTheme="minorBidi"/>
          <w:sz w:val="22"/>
          <w:szCs w:val="22"/>
        </w:rPr>
        <w:br/>
      </w:r>
    </w:p>
    <w:p w14:paraId="276469F7" w14:textId="1C63D5F2" w:rsidR="00E2077E" w:rsidRPr="00960028" w:rsidRDefault="00355D63">
      <w:pPr>
        <w:pStyle w:val="Heading1"/>
        <w:rPr>
          <w:rFonts w:asciiTheme="minorBidi" w:hAnsiTheme="minorBidi" w:cstheme="minorBidi"/>
          <w:color w:val="auto"/>
          <w:sz w:val="24"/>
          <w:szCs w:val="24"/>
        </w:rPr>
      </w:pPr>
      <w:bookmarkStart w:id="13" w:name="_Toc217045477"/>
      <w:proofErr w:type="gramStart"/>
      <w:r w:rsidRPr="00960028">
        <w:rPr>
          <w:rFonts w:asciiTheme="minorBidi" w:hAnsiTheme="minorBidi" w:cstheme="minorBidi"/>
          <w:color w:val="auto"/>
          <w:sz w:val="24"/>
          <w:szCs w:val="24"/>
        </w:rPr>
        <w:t>3.</w:t>
      </w:r>
      <w:r w:rsidR="00BB1C89" w:rsidRPr="00960028">
        <w:rPr>
          <w:rFonts w:asciiTheme="minorBidi" w:hAnsiTheme="minorBidi" w:cstheme="minorBidi"/>
          <w:color w:val="auto"/>
          <w:sz w:val="24"/>
          <w:szCs w:val="24"/>
        </w:rPr>
        <w:t>5</w:t>
      </w:r>
      <w:r w:rsidR="0064538B" w:rsidRPr="00960028">
        <w:rPr>
          <w:rFonts w:asciiTheme="minorBidi" w:hAnsiTheme="minorBidi" w:cstheme="minorBidi"/>
          <w:color w:val="auto"/>
          <w:sz w:val="24"/>
          <w:szCs w:val="24"/>
        </w:rPr>
        <w:t xml:space="preserve">  Conclusion</w:t>
      </w:r>
      <w:bookmarkEnd w:id="13"/>
      <w:proofErr w:type="gramEnd"/>
    </w:p>
    <w:p w14:paraId="03412102" w14:textId="77777777" w:rsidR="00355D63" w:rsidRPr="00517EC4" w:rsidRDefault="00355D63" w:rsidP="00355D63">
      <w:pPr>
        <w:rPr>
          <w:rFonts w:asciiTheme="minorBidi" w:hAnsiTheme="minorBidi"/>
        </w:rPr>
      </w:pPr>
    </w:p>
    <w:p w14:paraId="5241FCA6" w14:textId="0359FB26" w:rsidR="00E2077E" w:rsidRPr="00517EC4" w:rsidRDefault="008E53FB" w:rsidP="008E53FB">
      <w:pPr>
        <w:ind w:left="720"/>
        <w:rPr>
          <w:rFonts w:asciiTheme="minorBidi" w:hAnsiTheme="minorBidi"/>
        </w:rPr>
      </w:pPr>
      <w:r>
        <w:rPr>
          <w:rFonts w:asciiTheme="minorBidi" w:hAnsiTheme="minorBidi"/>
        </w:rPr>
        <w:t xml:space="preserve">The narrative of medical device regulation in South Africa is one of a system under stress.  </w:t>
      </w:r>
      <w:r w:rsidRPr="00517EC4">
        <w:rPr>
          <w:rFonts w:asciiTheme="minorBidi" w:hAnsiTheme="minorBidi"/>
        </w:rPr>
        <w:t>South Africa’s regulatory landscape for SaMD and AIaMD has evolved incrementally, moving from complete omission to preliminary classification. However, legal and policy literature converges on the view that SAHPRA’s guidelines remain ill</w:t>
      </w:r>
      <w:r w:rsidRPr="00517EC4">
        <w:rPr>
          <w:rFonts w:ascii="Cambria Math" w:hAnsi="Cambria Math" w:cs="Cambria Math"/>
        </w:rPr>
        <w:t>‑</w:t>
      </w:r>
      <w:r w:rsidRPr="00517EC4">
        <w:rPr>
          <w:rFonts w:asciiTheme="minorBidi" w:hAnsiTheme="minorBidi"/>
        </w:rPr>
        <w:t>suited for adaptive, learning</w:t>
      </w:r>
      <w:r w:rsidRPr="00517EC4">
        <w:rPr>
          <w:rFonts w:ascii="Cambria Math" w:hAnsi="Cambria Math" w:cs="Cambria Math"/>
        </w:rPr>
        <w:t>‑</w:t>
      </w:r>
      <w:r w:rsidRPr="00517EC4">
        <w:rPr>
          <w:rFonts w:asciiTheme="minorBidi" w:hAnsiTheme="minorBidi"/>
        </w:rPr>
        <w:t xml:space="preserve">based technologies. In particular, the lack of legally binding standards for </w:t>
      </w:r>
      <w:r w:rsidR="00517EC4" w:rsidRPr="00517EC4">
        <w:rPr>
          <w:rFonts w:asciiTheme="minorBidi" w:hAnsiTheme="minorBidi"/>
        </w:rPr>
        <w:t>post-market surveillance</w:t>
      </w:r>
      <w:r w:rsidRPr="00517EC4">
        <w:rPr>
          <w:rFonts w:asciiTheme="minorBidi" w:hAnsiTheme="minorBidi"/>
        </w:rPr>
        <w:t xml:space="preserve">, algorithmic transparency, and dynamic update management presents risks for both patient safety and local innovation. </w:t>
      </w:r>
      <w:r>
        <w:rPr>
          <w:rFonts w:asciiTheme="minorBidi" w:hAnsiTheme="minorBidi"/>
        </w:rPr>
        <w:t xml:space="preserve">The current hardware-centric framework is structurally unprepared to ensure the safety of adaptive devices.  The readiness to monitor continuous compliance is low.  To realize the promise of AI, SAHPRA needs to pivot from being a gatekeeper of static products to a stewardship model for dynamic systems to achieve its mandate effectively. </w:t>
      </w:r>
    </w:p>
    <w:p w14:paraId="19433701" w14:textId="4EC29815" w:rsidR="00263C5D" w:rsidRPr="00960028" w:rsidRDefault="00263C5D" w:rsidP="003A4B04">
      <w:pPr>
        <w:pStyle w:val="Heading1"/>
        <w:rPr>
          <w:color w:val="000000" w:themeColor="text1"/>
          <w:lang w:val="en-ZA"/>
        </w:rPr>
      </w:pPr>
      <w:bookmarkStart w:id="14" w:name="_Toc217045478"/>
      <w:r w:rsidRPr="00960028">
        <w:rPr>
          <w:rFonts w:asciiTheme="minorBidi" w:hAnsiTheme="minorBidi" w:cstheme="minorBidi"/>
          <w:color w:val="000000" w:themeColor="text1"/>
          <w:lang w:val="en-ZA"/>
        </w:rPr>
        <w:t xml:space="preserve">4:  </w:t>
      </w:r>
      <w:r w:rsidR="003A4B04" w:rsidRPr="00960028">
        <w:rPr>
          <w:rFonts w:asciiTheme="minorBidi" w:hAnsiTheme="minorBidi" w:cstheme="minorBidi"/>
          <w:color w:val="000000" w:themeColor="text1"/>
          <w:lang w:val="en-ZA"/>
        </w:rPr>
        <w:t>Research Problem</w:t>
      </w:r>
      <w:r w:rsidRPr="00960028">
        <w:rPr>
          <w:color w:val="000000" w:themeColor="text1"/>
          <w:lang w:val="en-ZA"/>
        </w:rPr>
        <w:t>:</w:t>
      </w:r>
      <w:bookmarkEnd w:id="14"/>
    </w:p>
    <w:p w14:paraId="4FB8DC03" w14:textId="77777777" w:rsidR="003A4B04" w:rsidRPr="003A4B04" w:rsidRDefault="003A4B04" w:rsidP="003A4B04">
      <w:pPr>
        <w:rPr>
          <w:lang w:val="en-ZA"/>
        </w:rPr>
      </w:pPr>
    </w:p>
    <w:p w14:paraId="7670448D" w14:textId="19A755E9" w:rsidR="00355D63" w:rsidRPr="00517EC4" w:rsidRDefault="00141F18" w:rsidP="00355D63">
      <w:pPr>
        <w:ind w:left="720"/>
        <w:rPr>
          <w:rFonts w:asciiTheme="minorBidi" w:hAnsiTheme="minorBidi"/>
          <w:lang w:val="en-ZA"/>
        </w:rPr>
      </w:pPr>
      <w:r w:rsidRPr="00517EC4">
        <w:rPr>
          <w:rFonts w:asciiTheme="minorBidi" w:hAnsiTheme="minorBidi"/>
          <w:lang w:val="en-ZA"/>
        </w:rPr>
        <w:t> </w:t>
      </w:r>
      <w:r w:rsidR="00355D63" w:rsidRPr="00517EC4">
        <w:rPr>
          <w:rFonts w:asciiTheme="minorBidi" w:hAnsiTheme="minorBidi"/>
          <w:lang w:val="en-ZA"/>
        </w:rPr>
        <w:t>4.1 South Africa has successfully transitioned from a pre-2016 regulatory vacuum to a structured, risk-based framework for medical devices. Through the Medicines and Related Substances Act and subsequent guidelines, the country has aligned itself with international</w:t>
      </w:r>
      <w:r w:rsidR="00517EC4">
        <w:rPr>
          <w:rFonts w:asciiTheme="minorBidi" w:hAnsiTheme="minorBidi"/>
          <w:lang w:val="en-ZA"/>
        </w:rPr>
        <w:t xml:space="preserve"> and regional</w:t>
      </w:r>
      <w:r w:rsidR="00355D63" w:rsidRPr="00517EC4">
        <w:rPr>
          <w:rFonts w:asciiTheme="minorBidi" w:hAnsiTheme="minorBidi"/>
          <w:lang w:val="en-ZA"/>
        </w:rPr>
        <w:t xml:space="preserve"> standards, bringing software explicitly under regulatory control.</w:t>
      </w:r>
    </w:p>
    <w:p w14:paraId="04FD421E" w14:textId="1BD5F655" w:rsidR="00355D63" w:rsidRPr="00517EC4" w:rsidRDefault="005E1A1B" w:rsidP="00AB1AC8">
      <w:pPr>
        <w:ind w:left="720"/>
        <w:rPr>
          <w:rFonts w:asciiTheme="minorBidi" w:hAnsiTheme="minorBidi"/>
          <w:lang w:val="en-ZA"/>
        </w:rPr>
      </w:pPr>
      <w:r>
        <w:rPr>
          <w:rFonts w:asciiTheme="minorBidi" w:hAnsiTheme="minorBidi"/>
          <w:lang w:val="en-ZA"/>
        </w:rPr>
        <w:t>4</w:t>
      </w:r>
      <w:r w:rsidR="00355D63" w:rsidRPr="00517EC4">
        <w:rPr>
          <w:rFonts w:asciiTheme="minorBidi" w:hAnsiTheme="minorBidi"/>
          <w:lang w:val="en-ZA"/>
        </w:rPr>
        <w:t xml:space="preserve">.2 </w:t>
      </w:r>
      <w:r w:rsidRPr="005E1A1B">
        <w:rPr>
          <w:rFonts w:asciiTheme="minorBidi" w:hAnsiTheme="minorBidi"/>
          <w:lang w:val="en-ZA"/>
        </w:rPr>
        <w:t xml:space="preserve">However, a critical issue remains. Although medicines and medical devices are subject to post-market surveillance and adverse event reporting, the overall regulatory philosophy remains heavily weighted toward a “test-once, approve-once” paradigm inherited from pharmaceutical regulation. In practice, most </w:t>
      </w:r>
      <w:r>
        <w:rPr>
          <w:rFonts w:asciiTheme="minorBidi" w:hAnsiTheme="minorBidi"/>
          <w:lang w:val="en-ZA"/>
        </w:rPr>
        <w:t xml:space="preserve">regulatory efforts </w:t>
      </w:r>
      <w:r w:rsidR="00E94A8A">
        <w:rPr>
          <w:rFonts w:asciiTheme="minorBidi" w:hAnsiTheme="minorBidi"/>
          <w:lang w:val="en-ZA"/>
        </w:rPr>
        <w:t xml:space="preserve">focus on approval, with post-market surveillance often relying on ad hoc reporting by clinicians or patients and on </w:t>
      </w:r>
      <w:r w:rsidRPr="005E1A1B">
        <w:rPr>
          <w:rFonts w:asciiTheme="minorBidi" w:hAnsiTheme="minorBidi"/>
          <w:lang w:val="en-ZA"/>
        </w:rPr>
        <w:t xml:space="preserve">periodic, retrospective review. </w:t>
      </w:r>
      <w:r>
        <w:rPr>
          <w:rFonts w:asciiTheme="minorBidi" w:hAnsiTheme="minorBidi"/>
          <w:lang w:val="en-ZA"/>
        </w:rPr>
        <w:t xml:space="preserve"> For </w:t>
      </w:r>
      <w:r w:rsidRPr="005E1A1B">
        <w:rPr>
          <w:rFonts w:asciiTheme="minorBidi" w:hAnsiTheme="minorBidi"/>
          <w:lang w:val="en-ZA"/>
        </w:rPr>
        <w:t>AI as a Medical Device (</w:t>
      </w:r>
      <w:proofErr w:type="spellStart"/>
      <w:r w:rsidRPr="005E1A1B">
        <w:rPr>
          <w:rFonts w:asciiTheme="minorBidi" w:hAnsiTheme="minorBidi"/>
          <w:lang w:val="en-ZA"/>
        </w:rPr>
        <w:t>AIaMD</w:t>
      </w:r>
      <w:proofErr w:type="spellEnd"/>
      <w:r w:rsidRPr="005E1A1B">
        <w:rPr>
          <w:rFonts w:asciiTheme="minorBidi" w:hAnsiTheme="minorBidi"/>
          <w:lang w:val="en-ZA"/>
        </w:rPr>
        <w:t>)</w:t>
      </w:r>
      <w:r w:rsidR="00E94A8A">
        <w:rPr>
          <w:rFonts w:asciiTheme="minorBidi" w:hAnsiTheme="minorBidi"/>
          <w:lang w:val="en-ZA"/>
        </w:rPr>
        <w:t xml:space="preserve">, this model is insufficient, risk is not static and merely revealed over time (as is the case with side-effect reporting). </w:t>
      </w:r>
      <w:r w:rsidR="00E94A8A">
        <w:rPr>
          <w:rFonts w:asciiTheme="minorBidi" w:hAnsiTheme="minorBidi"/>
          <w:lang w:val="en-ZA"/>
        </w:rPr>
        <w:lastRenderedPageBreak/>
        <w:t xml:space="preserve">Still, with </w:t>
      </w:r>
      <w:proofErr w:type="spellStart"/>
      <w:r w:rsidR="00E94A8A">
        <w:rPr>
          <w:rFonts w:asciiTheme="minorBidi" w:hAnsiTheme="minorBidi"/>
          <w:lang w:val="en-ZA"/>
        </w:rPr>
        <w:t>AIaMD</w:t>
      </w:r>
      <w:proofErr w:type="spellEnd"/>
      <w:r w:rsidR="00E94A8A">
        <w:rPr>
          <w:rFonts w:asciiTheme="minorBidi" w:hAnsiTheme="minorBidi"/>
          <w:lang w:val="en-ZA"/>
        </w:rPr>
        <w:t xml:space="preserve">, risk </w:t>
      </w:r>
      <w:proofErr w:type="gramStart"/>
      <w:r w:rsidR="00E94A8A">
        <w:rPr>
          <w:rFonts w:asciiTheme="minorBidi" w:hAnsiTheme="minorBidi"/>
          <w:lang w:val="en-ZA"/>
        </w:rPr>
        <w:t>actually evolves</w:t>
      </w:r>
      <w:proofErr w:type="gramEnd"/>
      <w:r w:rsidRPr="005E1A1B">
        <w:rPr>
          <w:rFonts w:asciiTheme="minorBidi" w:hAnsiTheme="minorBidi"/>
          <w:lang w:val="en-ZA"/>
        </w:rPr>
        <w:t xml:space="preserve"> over time</w:t>
      </w:r>
      <w:r>
        <w:rPr>
          <w:rFonts w:asciiTheme="minorBidi" w:hAnsiTheme="minorBidi"/>
          <w:lang w:val="en-ZA"/>
        </w:rPr>
        <w:t xml:space="preserve">.  This happens through </w:t>
      </w:r>
      <w:r w:rsidRPr="005E1A1B">
        <w:rPr>
          <w:rFonts w:asciiTheme="minorBidi" w:hAnsiTheme="minorBidi"/>
          <w:lang w:val="en-ZA"/>
        </w:rPr>
        <w:t>mechanisms such as model drift, dataset shifts</w:t>
      </w:r>
      <w:r w:rsidR="00E94A8A">
        <w:rPr>
          <w:rFonts w:asciiTheme="minorBidi" w:hAnsiTheme="minorBidi"/>
          <w:lang w:val="en-ZA"/>
        </w:rPr>
        <w:t>,</w:t>
      </w:r>
      <w:r w:rsidRPr="005E1A1B">
        <w:rPr>
          <w:rFonts w:asciiTheme="minorBidi" w:hAnsiTheme="minorBidi"/>
          <w:lang w:val="en-ZA"/>
        </w:rPr>
        <w:t xml:space="preserve"> and catastrophic forgetting.</w:t>
      </w:r>
      <w:r w:rsidR="00AB1AC8">
        <w:rPr>
          <w:rFonts w:asciiTheme="minorBidi" w:hAnsiTheme="minorBidi"/>
          <w:lang w:val="en-ZA"/>
        </w:rPr>
        <w:t xml:space="preserve">  The dynamic nature of an intervention in clinical use </w:t>
      </w:r>
      <w:r w:rsidR="00AB1AC8" w:rsidRPr="00AB1AC8">
        <w:rPr>
          <w:rFonts w:asciiTheme="minorBidi" w:hAnsiTheme="minorBidi"/>
          <w:lang w:val="en-ZA"/>
        </w:rPr>
        <w:t xml:space="preserve">fundamentally challenges the statistical assumptions of </w:t>
      </w:r>
      <w:r w:rsidR="00AB1AC8">
        <w:rPr>
          <w:rFonts w:asciiTheme="minorBidi" w:hAnsiTheme="minorBidi"/>
          <w:lang w:val="en-ZA"/>
        </w:rPr>
        <w:t xml:space="preserve">‘approve once’ regulatory requirements.   </w:t>
      </w:r>
      <w:r w:rsidR="00667ED0">
        <w:rPr>
          <w:rFonts w:asciiTheme="minorBidi" w:hAnsiTheme="minorBidi"/>
          <w:lang w:val="en-ZA"/>
        </w:rPr>
        <w:t>Dy</w:t>
      </w:r>
      <w:r w:rsidR="00AB1AC8">
        <w:rPr>
          <w:rFonts w:asciiTheme="minorBidi" w:hAnsiTheme="minorBidi"/>
          <w:lang w:val="en-ZA"/>
        </w:rPr>
        <w:t xml:space="preserve">namic </w:t>
      </w:r>
      <w:r w:rsidR="00E94A8A">
        <w:rPr>
          <w:rFonts w:asciiTheme="minorBidi" w:hAnsiTheme="minorBidi"/>
          <w:lang w:val="en-ZA"/>
        </w:rPr>
        <w:t>post-market</w:t>
      </w:r>
      <w:r w:rsidR="00AB1AC8">
        <w:rPr>
          <w:rFonts w:asciiTheme="minorBidi" w:hAnsiTheme="minorBidi"/>
          <w:lang w:val="en-ZA"/>
        </w:rPr>
        <w:t xml:space="preserve"> risk</w:t>
      </w:r>
      <w:r w:rsidR="00AB1AC8" w:rsidRPr="00AB1AC8">
        <w:rPr>
          <w:rFonts w:asciiTheme="minorBidi" w:hAnsiTheme="minorBidi"/>
          <w:lang w:val="en-ZA"/>
        </w:rPr>
        <w:t xml:space="preserve"> </w:t>
      </w:r>
      <w:r w:rsidR="00AB1AC8">
        <w:rPr>
          <w:rFonts w:asciiTheme="minorBidi" w:hAnsiTheme="minorBidi"/>
          <w:lang w:val="en-ZA"/>
        </w:rPr>
        <w:t>requires</w:t>
      </w:r>
      <w:r w:rsidR="00AB1AC8" w:rsidRPr="00AB1AC8">
        <w:rPr>
          <w:rFonts w:asciiTheme="minorBidi" w:hAnsiTheme="minorBidi"/>
          <w:lang w:val="en-ZA"/>
        </w:rPr>
        <w:t xml:space="preserve"> regulators </w:t>
      </w:r>
      <w:r w:rsidR="00AB1AC8">
        <w:rPr>
          <w:rFonts w:asciiTheme="minorBidi" w:hAnsiTheme="minorBidi"/>
          <w:lang w:val="en-ZA"/>
        </w:rPr>
        <w:t>to move from</w:t>
      </w:r>
      <w:r w:rsidR="00AB1AC8" w:rsidRPr="00AB1AC8">
        <w:rPr>
          <w:rFonts w:asciiTheme="minorBidi" w:hAnsiTheme="minorBidi"/>
          <w:lang w:val="en-ZA"/>
        </w:rPr>
        <w:t xml:space="preserve"> being 'gatekeepers' of a static approval moment to becoming 'stewards' of a dynamic lifecycle. This shift is necessary because adaptive technologies operate as non-ergodic systems, where </w:t>
      </w:r>
      <w:r w:rsidR="00E94A8A">
        <w:rPr>
          <w:rFonts w:asciiTheme="minorBidi" w:hAnsiTheme="minorBidi"/>
          <w:lang w:val="en-ZA"/>
        </w:rPr>
        <w:t>a single snapshot of data cannot permanently prove safety</w:t>
      </w:r>
      <w:r w:rsidR="00AB1AC8" w:rsidRPr="00AB1AC8">
        <w:rPr>
          <w:rFonts w:asciiTheme="minorBidi" w:hAnsiTheme="minorBidi"/>
          <w:lang w:val="en-ZA"/>
        </w:rPr>
        <w:t>.</w:t>
      </w:r>
      <w:r w:rsidR="00AB1AC8">
        <w:rPr>
          <w:rFonts w:asciiTheme="minorBidi" w:hAnsiTheme="minorBidi"/>
          <w:lang w:val="en-ZA"/>
        </w:rPr>
        <w:t xml:space="preserve"> </w:t>
      </w:r>
    </w:p>
    <w:p w14:paraId="02DE3C6A" w14:textId="0352F90D" w:rsidR="00355D63" w:rsidRDefault="00355D63" w:rsidP="005E1A1B">
      <w:pPr>
        <w:ind w:left="720"/>
        <w:rPr>
          <w:rFonts w:asciiTheme="minorBidi" w:hAnsiTheme="minorBidi"/>
          <w:lang w:val="en-ZA"/>
        </w:rPr>
      </w:pPr>
      <w:r w:rsidRPr="00517EC4">
        <w:rPr>
          <w:rFonts w:asciiTheme="minorBidi" w:hAnsiTheme="minorBidi"/>
          <w:lang w:val="en-ZA"/>
        </w:rPr>
        <w:t xml:space="preserve">4.3 Consequently, while South Africa possesses the </w:t>
      </w:r>
      <w:r w:rsidR="005E1A1B">
        <w:rPr>
          <w:rFonts w:asciiTheme="minorBidi" w:hAnsiTheme="minorBidi"/>
          <w:lang w:val="en-ZA"/>
        </w:rPr>
        <w:t>proposed legislative framework</w:t>
      </w:r>
      <w:r w:rsidRPr="00517EC4">
        <w:rPr>
          <w:rFonts w:asciiTheme="minorBidi" w:hAnsiTheme="minorBidi"/>
          <w:lang w:val="en-ZA"/>
        </w:rPr>
        <w:t xml:space="preserve"> for regulation (definitions and classification), it is </w:t>
      </w:r>
      <w:r w:rsidR="005E1A1B">
        <w:rPr>
          <w:rFonts w:asciiTheme="minorBidi" w:hAnsiTheme="minorBidi"/>
          <w:lang w:val="en-ZA"/>
        </w:rPr>
        <w:t>not clear</w:t>
      </w:r>
      <w:r w:rsidRPr="00517EC4">
        <w:rPr>
          <w:rFonts w:asciiTheme="minorBidi" w:hAnsiTheme="minorBidi"/>
          <w:lang w:val="en-ZA"/>
        </w:rPr>
        <w:t xml:space="preserve"> whether it possesses the operational </w:t>
      </w:r>
      <w:r w:rsidR="005E1A1B">
        <w:rPr>
          <w:rFonts w:asciiTheme="minorBidi" w:hAnsiTheme="minorBidi"/>
          <w:lang w:val="en-ZA"/>
        </w:rPr>
        <w:t xml:space="preserve">capacity </w:t>
      </w:r>
      <w:r w:rsidRPr="00517EC4">
        <w:rPr>
          <w:rFonts w:asciiTheme="minorBidi" w:hAnsiTheme="minorBidi"/>
          <w:lang w:val="en-ZA"/>
        </w:rPr>
        <w:t xml:space="preserve">to </w:t>
      </w:r>
      <w:r w:rsidR="005E1A1B">
        <w:rPr>
          <w:rFonts w:asciiTheme="minorBidi" w:hAnsiTheme="minorBidi"/>
          <w:lang w:val="en-ZA"/>
        </w:rPr>
        <w:t xml:space="preserve">monitor </w:t>
      </w:r>
      <w:r w:rsidRPr="00517EC4">
        <w:rPr>
          <w:rFonts w:asciiTheme="minorBidi" w:hAnsiTheme="minorBidi"/>
          <w:lang w:val="en-ZA"/>
        </w:rPr>
        <w:t xml:space="preserve">continuous compliance. </w:t>
      </w:r>
    </w:p>
    <w:p w14:paraId="366C7C57" w14:textId="77777777" w:rsidR="00667ED0" w:rsidRDefault="00667ED0" w:rsidP="00355D63">
      <w:pPr>
        <w:rPr>
          <w:rFonts w:asciiTheme="minorBidi" w:hAnsiTheme="minorBidi"/>
          <w:b/>
          <w:bCs/>
          <w:sz w:val="32"/>
          <w:szCs w:val="32"/>
          <w:lang w:val="en-ZA"/>
        </w:rPr>
      </w:pPr>
    </w:p>
    <w:p w14:paraId="715B4310" w14:textId="041A7BC4" w:rsidR="00263C5D" w:rsidRPr="00960028" w:rsidRDefault="003A4B04" w:rsidP="00263C5D">
      <w:pPr>
        <w:rPr>
          <w:rFonts w:asciiTheme="minorBidi" w:hAnsiTheme="minorBidi"/>
          <w:b/>
          <w:bCs/>
          <w:sz w:val="28"/>
          <w:szCs w:val="28"/>
          <w:lang w:val="en-ZA"/>
        </w:rPr>
      </w:pPr>
      <w:r w:rsidRPr="00960028">
        <w:rPr>
          <w:rFonts w:asciiTheme="minorBidi" w:hAnsiTheme="minorBidi"/>
          <w:b/>
          <w:bCs/>
          <w:sz w:val="28"/>
          <w:szCs w:val="28"/>
          <w:lang w:val="en-ZA"/>
        </w:rPr>
        <w:t>5</w:t>
      </w:r>
      <w:r w:rsidR="00263C5D" w:rsidRPr="00960028">
        <w:rPr>
          <w:rFonts w:asciiTheme="minorBidi" w:hAnsiTheme="minorBidi"/>
          <w:b/>
          <w:bCs/>
          <w:sz w:val="28"/>
          <w:szCs w:val="28"/>
          <w:lang w:val="en-ZA"/>
        </w:rPr>
        <w:t xml:space="preserve">:  </w:t>
      </w:r>
      <w:r w:rsidRPr="00960028">
        <w:rPr>
          <w:rStyle w:val="Heading1Char"/>
          <w:rFonts w:asciiTheme="minorBidi" w:hAnsiTheme="minorBidi" w:cstheme="minorBidi"/>
          <w:color w:val="000000" w:themeColor="text1"/>
        </w:rPr>
        <w:t>Research Questions</w:t>
      </w:r>
    </w:p>
    <w:p w14:paraId="4C1A3BDF" w14:textId="6C00660C" w:rsidR="00355D63" w:rsidRPr="00517EC4" w:rsidRDefault="00355D63" w:rsidP="00355D63">
      <w:pPr>
        <w:ind w:left="720"/>
        <w:rPr>
          <w:rFonts w:asciiTheme="minorBidi" w:hAnsiTheme="minorBidi"/>
          <w:lang w:val="en-ZA"/>
        </w:rPr>
      </w:pPr>
      <w:r w:rsidRPr="00517EC4">
        <w:rPr>
          <w:rFonts w:asciiTheme="minorBidi" w:hAnsiTheme="minorBidi"/>
          <w:lang w:val="en-ZA"/>
        </w:rPr>
        <w:t>To address this problem, this study poses the following primary research questio</w:t>
      </w:r>
      <w:r w:rsidR="005E1A1B">
        <w:rPr>
          <w:rFonts w:asciiTheme="minorBidi" w:hAnsiTheme="minorBidi"/>
          <w:lang w:val="en-ZA"/>
        </w:rPr>
        <w:t xml:space="preserve">n: </w:t>
      </w:r>
    </w:p>
    <w:p w14:paraId="7ACE744A" w14:textId="77777777" w:rsidR="00355D63" w:rsidRPr="005E1A1B" w:rsidRDefault="00355D63" w:rsidP="00355D63">
      <w:pPr>
        <w:ind w:left="720"/>
        <w:rPr>
          <w:rFonts w:asciiTheme="minorBidi" w:hAnsiTheme="minorBidi"/>
          <w:b/>
          <w:bCs/>
          <w:lang w:val="en-ZA"/>
        </w:rPr>
      </w:pPr>
      <w:r w:rsidRPr="005E1A1B">
        <w:rPr>
          <w:rFonts w:asciiTheme="minorBidi" w:hAnsiTheme="minorBidi"/>
          <w:b/>
          <w:bCs/>
          <w:lang w:val="en-ZA"/>
        </w:rPr>
        <w:t>To what extent is South Africa’s current regulatory framework operationally ready to manage the continuous compliance requirements of AIaMD?</w:t>
      </w:r>
    </w:p>
    <w:p w14:paraId="5D502CEC" w14:textId="77777777" w:rsidR="00355D63" w:rsidRPr="00517EC4" w:rsidRDefault="00355D63" w:rsidP="00355D63">
      <w:pPr>
        <w:ind w:left="720"/>
        <w:rPr>
          <w:rFonts w:asciiTheme="minorBidi" w:hAnsiTheme="minorBidi"/>
          <w:lang w:val="en-ZA"/>
        </w:rPr>
      </w:pPr>
    </w:p>
    <w:p w14:paraId="67D84541" w14:textId="77777777" w:rsidR="00355D63" w:rsidRPr="00517EC4" w:rsidRDefault="00355D63" w:rsidP="00355D63">
      <w:pPr>
        <w:ind w:left="720"/>
        <w:rPr>
          <w:rFonts w:asciiTheme="minorBidi" w:hAnsiTheme="minorBidi"/>
          <w:lang w:val="en-ZA"/>
        </w:rPr>
      </w:pPr>
      <w:r w:rsidRPr="00517EC4">
        <w:rPr>
          <w:rFonts w:asciiTheme="minorBidi" w:hAnsiTheme="minorBidi"/>
          <w:lang w:val="en-ZA"/>
        </w:rPr>
        <w:t>To answer this, the study investigates the following sub-questions:</w:t>
      </w:r>
    </w:p>
    <w:p w14:paraId="7F3F307C" w14:textId="77777777" w:rsidR="00355D63" w:rsidRPr="00517EC4" w:rsidRDefault="00355D63" w:rsidP="00355D63">
      <w:pPr>
        <w:pStyle w:val="ListParagraph"/>
        <w:numPr>
          <w:ilvl w:val="0"/>
          <w:numId w:val="13"/>
        </w:numPr>
        <w:rPr>
          <w:rFonts w:asciiTheme="minorBidi" w:hAnsiTheme="minorBidi"/>
          <w:lang w:val="en-ZA"/>
        </w:rPr>
      </w:pPr>
      <w:r w:rsidRPr="00517EC4">
        <w:rPr>
          <w:rFonts w:asciiTheme="minorBidi" w:hAnsiTheme="minorBidi"/>
          <w:lang w:val="en-ZA"/>
        </w:rPr>
        <w:t>The South African Baseline: How does the current South African legislative framework (National Health Act, Medicines Act) allocate liability and oversight for medical devices, and does this current allocation accommodate the dynamic nature of adaptive software?</w:t>
      </w:r>
    </w:p>
    <w:p w14:paraId="04BFF9BE" w14:textId="77777777" w:rsidR="00355D63" w:rsidRPr="00517EC4" w:rsidRDefault="00355D63" w:rsidP="00355D63">
      <w:pPr>
        <w:pStyle w:val="ListParagraph"/>
        <w:numPr>
          <w:ilvl w:val="0"/>
          <w:numId w:val="13"/>
        </w:numPr>
        <w:rPr>
          <w:rFonts w:asciiTheme="minorBidi" w:hAnsiTheme="minorBidi"/>
          <w:lang w:val="en-ZA"/>
        </w:rPr>
      </w:pPr>
      <w:r w:rsidRPr="00517EC4">
        <w:rPr>
          <w:rFonts w:asciiTheme="minorBidi" w:hAnsiTheme="minorBidi"/>
          <w:lang w:val="en-ZA"/>
        </w:rPr>
        <w:t>The Comparative Benchmark: How has the European Union (via the EU MDR and AI Act) operationalised "lifecycle management" for AIaMD, specifically regarding the use of Predetermined Change Control Plans (PCCPs) and Post-Market Clinical Follow-up (PMCF)?</w:t>
      </w:r>
    </w:p>
    <w:p w14:paraId="51EA6025" w14:textId="7AEAE7A6" w:rsidR="00355D63" w:rsidRPr="00517EC4" w:rsidRDefault="00355D63" w:rsidP="00355D63">
      <w:pPr>
        <w:pStyle w:val="ListParagraph"/>
        <w:numPr>
          <w:ilvl w:val="0"/>
          <w:numId w:val="13"/>
        </w:numPr>
        <w:rPr>
          <w:rFonts w:asciiTheme="minorBidi" w:hAnsiTheme="minorBidi"/>
          <w:lang w:val="en-ZA"/>
        </w:rPr>
      </w:pPr>
      <w:r w:rsidRPr="00517EC4">
        <w:rPr>
          <w:rFonts w:asciiTheme="minorBidi" w:hAnsiTheme="minorBidi"/>
          <w:lang w:val="en-ZA"/>
        </w:rPr>
        <w:t xml:space="preserve">The Operational Gap: By benchmarking South Africa against the EU model, what specific institutional and technical </w:t>
      </w:r>
      <w:r w:rsidR="005E1A1B">
        <w:rPr>
          <w:rFonts w:asciiTheme="minorBidi" w:hAnsiTheme="minorBidi"/>
          <w:lang w:val="en-ZA"/>
        </w:rPr>
        <w:t>shortcomings</w:t>
      </w:r>
      <w:r w:rsidRPr="00517EC4">
        <w:rPr>
          <w:rFonts w:asciiTheme="minorBidi" w:hAnsiTheme="minorBidi"/>
          <w:lang w:val="en-ZA"/>
        </w:rPr>
        <w:t xml:space="preserve"> are revealed in the South African framework that would </w:t>
      </w:r>
      <w:r w:rsidR="005E1A1B">
        <w:rPr>
          <w:rFonts w:asciiTheme="minorBidi" w:hAnsiTheme="minorBidi"/>
          <w:lang w:val="en-ZA"/>
        </w:rPr>
        <w:t xml:space="preserve">prevent </w:t>
      </w:r>
      <w:r w:rsidRPr="00517EC4">
        <w:rPr>
          <w:rFonts w:asciiTheme="minorBidi" w:hAnsiTheme="minorBidi"/>
          <w:lang w:val="en-ZA"/>
        </w:rPr>
        <w:t>effective surveillance of adaptive technologies?</w:t>
      </w:r>
    </w:p>
    <w:p w14:paraId="277756E4" w14:textId="77777777" w:rsidR="00355D63" w:rsidRDefault="00355D63" w:rsidP="00355D63">
      <w:pPr>
        <w:rPr>
          <w:rFonts w:asciiTheme="minorBidi" w:hAnsiTheme="minorBidi"/>
          <w:lang w:val="en-ZA"/>
        </w:rPr>
      </w:pPr>
    </w:p>
    <w:p w14:paraId="2BE3C9A2" w14:textId="77777777" w:rsidR="00263C5D" w:rsidRDefault="00263C5D" w:rsidP="00355D63">
      <w:pPr>
        <w:rPr>
          <w:rFonts w:asciiTheme="minorBidi" w:hAnsiTheme="minorBidi"/>
          <w:lang w:val="en-ZA"/>
        </w:rPr>
      </w:pPr>
    </w:p>
    <w:p w14:paraId="1259EC35" w14:textId="77777777" w:rsidR="00263C5D" w:rsidRPr="00517EC4" w:rsidRDefault="00263C5D" w:rsidP="00355D63">
      <w:pPr>
        <w:rPr>
          <w:rFonts w:asciiTheme="minorBidi" w:hAnsiTheme="minorBidi"/>
          <w:lang w:val="en-ZA"/>
        </w:rPr>
      </w:pPr>
    </w:p>
    <w:p w14:paraId="121C4F2A" w14:textId="00B32BFF" w:rsidR="00263C5D" w:rsidRPr="00960028" w:rsidRDefault="00263C5D" w:rsidP="003A4B04">
      <w:pPr>
        <w:pStyle w:val="Heading1"/>
        <w:rPr>
          <w:rFonts w:asciiTheme="minorBidi" w:hAnsiTheme="minorBidi" w:cstheme="minorBidi"/>
          <w:color w:val="000000" w:themeColor="text1"/>
          <w:lang w:val="en-ZA"/>
        </w:rPr>
      </w:pPr>
      <w:bookmarkStart w:id="15" w:name="_Toc217045479"/>
      <w:r w:rsidRPr="00960028">
        <w:rPr>
          <w:rFonts w:asciiTheme="minorBidi" w:hAnsiTheme="minorBidi" w:cstheme="minorBidi"/>
          <w:color w:val="000000" w:themeColor="text1"/>
          <w:lang w:val="en-ZA"/>
        </w:rPr>
        <w:lastRenderedPageBreak/>
        <w:t>6: M</w:t>
      </w:r>
      <w:r w:rsidR="003A4B04" w:rsidRPr="00960028">
        <w:rPr>
          <w:rFonts w:asciiTheme="minorBidi" w:hAnsiTheme="minorBidi" w:cstheme="minorBidi"/>
          <w:color w:val="000000" w:themeColor="text1"/>
          <w:lang w:val="en-ZA"/>
        </w:rPr>
        <w:t>ethodology</w:t>
      </w:r>
      <w:bookmarkEnd w:id="15"/>
    </w:p>
    <w:p w14:paraId="4BCAFE7A" w14:textId="77777777" w:rsidR="003A4B04" w:rsidRPr="003A4B04" w:rsidRDefault="003A4B04" w:rsidP="003A4B04">
      <w:pPr>
        <w:rPr>
          <w:lang w:val="en-ZA"/>
        </w:rPr>
      </w:pPr>
    </w:p>
    <w:p w14:paraId="3D563C7D" w14:textId="1585EB61" w:rsidR="00EC6A4A" w:rsidRPr="00EC6A4A" w:rsidRDefault="00EC6A4A" w:rsidP="00EC6A4A">
      <w:pPr>
        <w:ind w:left="720"/>
        <w:rPr>
          <w:rFonts w:asciiTheme="minorBidi" w:hAnsiTheme="minorBidi"/>
          <w:lang w:val="en-ZA"/>
        </w:rPr>
      </w:pPr>
      <w:r w:rsidRPr="00EC6A4A">
        <w:rPr>
          <w:rFonts w:asciiTheme="minorBidi" w:hAnsiTheme="minorBidi"/>
          <w:lang w:val="en-ZA"/>
        </w:rPr>
        <w:t>This dissertation is a doctrinal, or desktop, study. Doctrinal research involves identifying, interpreting</w:t>
      </w:r>
      <w:r w:rsidR="00667ED0">
        <w:rPr>
          <w:rFonts w:asciiTheme="minorBidi" w:hAnsiTheme="minorBidi"/>
          <w:lang w:val="en-ZA"/>
        </w:rPr>
        <w:t>, and analysing legal sources such as legislation, regulations, case law, policy documents,</w:t>
      </w:r>
      <w:r w:rsidRPr="00EC6A4A">
        <w:rPr>
          <w:rFonts w:asciiTheme="minorBidi" w:hAnsiTheme="minorBidi"/>
          <w:lang w:val="en-ZA"/>
        </w:rPr>
        <w:t xml:space="preserve"> and academic writing. This approach is appropriate because the research questions </w:t>
      </w:r>
      <w:r w:rsidR="00E94A8A">
        <w:rPr>
          <w:rFonts w:asciiTheme="minorBidi" w:hAnsiTheme="minorBidi"/>
          <w:lang w:val="en-ZA"/>
        </w:rPr>
        <w:t>concern</w:t>
      </w:r>
      <w:r w:rsidRPr="00EC6A4A">
        <w:rPr>
          <w:rFonts w:asciiTheme="minorBidi" w:hAnsiTheme="minorBidi"/>
          <w:lang w:val="en-ZA"/>
        </w:rPr>
        <w:t xml:space="preserve"> how South African and European Union law </w:t>
      </w:r>
      <w:r w:rsidR="00667ED0">
        <w:rPr>
          <w:rFonts w:asciiTheme="minorBidi" w:hAnsiTheme="minorBidi"/>
          <w:lang w:val="en-ZA"/>
        </w:rPr>
        <w:t>regulates</w:t>
      </w:r>
      <w:r w:rsidRPr="00EC6A4A">
        <w:rPr>
          <w:rFonts w:asciiTheme="minorBidi" w:hAnsiTheme="minorBidi"/>
          <w:lang w:val="en-ZA"/>
        </w:rPr>
        <w:t xml:space="preserve"> Software as a Medical Device (SaMD) and AI as a Medical Device (AIaMD), and what changes might be needed in South Africa to support continuous compliance and post-market surveillance.</w:t>
      </w:r>
    </w:p>
    <w:p w14:paraId="305B4E25" w14:textId="1BA1AA3D" w:rsidR="00EC6A4A" w:rsidRPr="00EC6A4A" w:rsidRDefault="00EC6A4A" w:rsidP="00EC6A4A">
      <w:pPr>
        <w:ind w:left="720"/>
        <w:rPr>
          <w:rFonts w:asciiTheme="minorBidi" w:hAnsiTheme="minorBidi"/>
          <w:lang w:val="en-ZA"/>
        </w:rPr>
      </w:pPr>
      <w:r w:rsidRPr="00EC6A4A">
        <w:rPr>
          <w:rFonts w:asciiTheme="minorBidi" w:hAnsiTheme="minorBidi"/>
          <w:lang w:val="en-ZA"/>
        </w:rPr>
        <w:t>The study relies on publicly available materials, including the Constitution, the National Health Act, the Medicines and Related Substances Act, regulations and guidelines issued by the South African Health Products Regulatory Authority (SAHPRA), relevant European Union instruments and guidance, and secondary sources such as books, journal articles, reports</w:t>
      </w:r>
      <w:r w:rsidR="00E94A8A">
        <w:rPr>
          <w:rFonts w:asciiTheme="minorBidi" w:hAnsiTheme="minorBidi"/>
          <w:lang w:val="en-ZA"/>
        </w:rPr>
        <w:t>,</w:t>
      </w:r>
      <w:r w:rsidRPr="00EC6A4A">
        <w:rPr>
          <w:rFonts w:asciiTheme="minorBidi" w:hAnsiTheme="minorBidi"/>
          <w:lang w:val="en-ZA"/>
        </w:rPr>
        <w:t xml:space="preserve"> and reputable online resources. These sources are used to map the existing South African framework, to describe the European Union’s approach, and to </w:t>
      </w:r>
      <w:r w:rsidR="00E94A8A">
        <w:rPr>
          <w:rFonts w:asciiTheme="minorBidi" w:hAnsiTheme="minorBidi"/>
          <w:lang w:val="en-ZA"/>
        </w:rPr>
        <w:t>conduct a comparative analysis of</w:t>
      </w:r>
      <w:r w:rsidRPr="00EC6A4A">
        <w:rPr>
          <w:rFonts w:asciiTheme="minorBidi" w:hAnsiTheme="minorBidi"/>
          <w:lang w:val="en-ZA"/>
        </w:rPr>
        <w:t xml:space="preserve"> the two.</w:t>
      </w:r>
    </w:p>
    <w:p w14:paraId="39D1A6E7" w14:textId="77777777" w:rsidR="00EC6A4A" w:rsidRPr="00EC6A4A" w:rsidRDefault="00EC6A4A" w:rsidP="00EC6A4A">
      <w:pPr>
        <w:ind w:left="720"/>
        <w:rPr>
          <w:rFonts w:asciiTheme="minorBidi" w:hAnsiTheme="minorBidi"/>
          <w:lang w:val="en-ZA"/>
        </w:rPr>
      </w:pPr>
      <w:r w:rsidRPr="00EC6A4A">
        <w:rPr>
          <w:rFonts w:asciiTheme="minorBidi" w:hAnsiTheme="minorBidi"/>
          <w:lang w:val="en-ZA"/>
        </w:rPr>
        <w:t>No human participants or personal health data are involved in this research. There is no experimentation on human beings, no collection of surveys or interviews, and no disclosure of personal information of any kind. All information used in this dissertation is already in the public domain. In line with University of KwaZulu-Natal requirements, ethics clearance or exemption will nevertheless be sought from the appropriate research ethics structures before the full study is undertaken.</w:t>
      </w:r>
    </w:p>
    <w:p w14:paraId="5728A187" w14:textId="77777777" w:rsidR="00355D63" w:rsidRPr="00517EC4" w:rsidRDefault="00355D63" w:rsidP="00355D63">
      <w:pPr>
        <w:ind w:left="720"/>
        <w:rPr>
          <w:rFonts w:asciiTheme="minorBidi" w:hAnsiTheme="minorBidi"/>
          <w:lang w:val="en-ZA"/>
        </w:rPr>
      </w:pPr>
    </w:p>
    <w:p w14:paraId="1EC77A95" w14:textId="7A1F2B94" w:rsidR="00263C5D" w:rsidRPr="00960028" w:rsidRDefault="00263C5D" w:rsidP="003A4B04">
      <w:pPr>
        <w:pStyle w:val="Heading1"/>
        <w:rPr>
          <w:rFonts w:asciiTheme="minorBidi" w:hAnsiTheme="minorBidi" w:cstheme="minorBidi"/>
          <w:color w:val="000000" w:themeColor="text1"/>
          <w:lang w:val="en-ZA"/>
        </w:rPr>
      </w:pPr>
      <w:bookmarkStart w:id="16" w:name="_Toc217045480"/>
      <w:r w:rsidRPr="00960028">
        <w:rPr>
          <w:rFonts w:asciiTheme="minorBidi" w:hAnsiTheme="minorBidi" w:cstheme="minorBidi"/>
          <w:color w:val="000000" w:themeColor="text1"/>
          <w:lang w:val="en-ZA"/>
        </w:rPr>
        <w:t xml:space="preserve">7:  </w:t>
      </w:r>
      <w:r w:rsidR="003A4B04" w:rsidRPr="00960028">
        <w:rPr>
          <w:rFonts w:asciiTheme="minorBidi" w:hAnsiTheme="minorBidi" w:cstheme="minorBidi"/>
          <w:color w:val="000000" w:themeColor="text1"/>
          <w:lang w:val="en-ZA"/>
        </w:rPr>
        <w:t>Chapter Outline</w:t>
      </w:r>
      <w:bookmarkEnd w:id="16"/>
    </w:p>
    <w:p w14:paraId="1CA4A6E1" w14:textId="77777777" w:rsidR="003A4B04" w:rsidRPr="003A4B04" w:rsidRDefault="003A4B04" w:rsidP="003A4B04">
      <w:pPr>
        <w:rPr>
          <w:lang w:val="en-ZA"/>
        </w:rPr>
      </w:pPr>
    </w:p>
    <w:p w14:paraId="53265A77" w14:textId="5F3CE898" w:rsidR="00323A13" w:rsidRPr="00517EC4" w:rsidRDefault="00323A13" w:rsidP="00667ED0">
      <w:pPr>
        <w:ind w:left="720"/>
        <w:rPr>
          <w:rFonts w:asciiTheme="minorBidi" w:hAnsiTheme="minorBidi"/>
          <w:lang w:val="en-ZA"/>
        </w:rPr>
      </w:pPr>
      <w:r w:rsidRPr="00517EC4">
        <w:rPr>
          <w:rFonts w:asciiTheme="minorBidi" w:hAnsiTheme="minorBidi"/>
          <w:lang w:val="en-ZA"/>
        </w:rPr>
        <w:t>This thesis will be organised into six chapters.</w:t>
      </w:r>
    </w:p>
    <w:p w14:paraId="46A33456" w14:textId="1257D4ED" w:rsidR="00323A13" w:rsidRPr="00517EC4" w:rsidRDefault="00323A13" w:rsidP="00667ED0">
      <w:pPr>
        <w:ind w:left="720"/>
        <w:rPr>
          <w:rFonts w:asciiTheme="minorBidi" w:hAnsiTheme="minorBidi"/>
          <w:lang w:val="en-ZA"/>
        </w:rPr>
      </w:pPr>
      <w:r w:rsidRPr="00517EC4">
        <w:rPr>
          <w:rFonts w:asciiTheme="minorBidi" w:hAnsiTheme="minorBidi"/>
          <w:b/>
          <w:bCs/>
          <w:lang w:val="en-ZA"/>
        </w:rPr>
        <w:t xml:space="preserve">Chapter 1 </w:t>
      </w:r>
      <w:r w:rsidRPr="00517EC4">
        <w:rPr>
          <w:rFonts w:asciiTheme="minorBidi" w:hAnsiTheme="minorBidi"/>
          <w:lang w:val="en-ZA"/>
        </w:rPr>
        <w:t xml:space="preserve">introduces the dissertation. </w:t>
      </w:r>
      <w:r w:rsidR="00E94A8A">
        <w:rPr>
          <w:rFonts w:asciiTheme="minorBidi" w:hAnsiTheme="minorBidi"/>
          <w:lang w:val="en-ZA"/>
        </w:rPr>
        <w:t>This chapter aims</w:t>
      </w:r>
      <w:r w:rsidRPr="00517EC4">
        <w:rPr>
          <w:rFonts w:asciiTheme="minorBidi" w:hAnsiTheme="minorBidi"/>
          <w:lang w:val="en-ZA"/>
        </w:rPr>
        <w:t xml:space="preserve"> to set out the context and motivation for the research by explaining the emergence of SaMD and AIaMD, the challenge that adaptive, drifting technologies pose to a “test-once, approve-once” regulatory paradigm, and the growing importance of post-market surveillance. It outlines the South African problem, namely the possibility of operational misalignment between emerging legal definitions and institutional capacity, and frames continuous compliance as the organising concept. The chapter also sets out the purpose of the study, the central research question and sub-questions, the doctrinal desktop methodology to be followed, and a brief overview of the chapters that follow.</w:t>
      </w:r>
    </w:p>
    <w:p w14:paraId="7E1B9611" w14:textId="77777777" w:rsidR="00323A13" w:rsidRPr="00517EC4" w:rsidRDefault="00323A13" w:rsidP="00667ED0">
      <w:pPr>
        <w:ind w:left="720"/>
        <w:rPr>
          <w:rFonts w:asciiTheme="minorBidi" w:hAnsiTheme="minorBidi"/>
          <w:lang w:val="en-ZA"/>
        </w:rPr>
      </w:pPr>
    </w:p>
    <w:p w14:paraId="0358F2C8" w14:textId="0A71CDA9" w:rsidR="00323A13" w:rsidRPr="00517EC4" w:rsidRDefault="00323A13" w:rsidP="00667ED0">
      <w:pPr>
        <w:ind w:left="720"/>
        <w:rPr>
          <w:rFonts w:asciiTheme="minorBidi" w:hAnsiTheme="minorBidi"/>
          <w:lang w:val="en-ZA"/>
        </w:rPr>
      </w:pPr>
      <w:r w:rsidRPr="00517EC4">
        <w:rPr>
          <w:rFonts w:asciiTheme="minorBidi" w:hAnsiTheme="minorBidi"/>
          <w:b/>
          <w:bCs/>
          <w:lang w:val="en-ZA"/>
        </w:rPr>
        <w:t>Chapter 2</w:t>
      </w:r>
      <w:r w:rsidRPr="00517EC4">
        <w:rPr>
          <w:rFonts w:asciiTheme="minorBidi" w:hAnsiTheme="minorBidi"/>
          <w:lang w:val="en-ZA"/>
        </w:rPr>
        <w:t xml:space="preserve"> provides the conceptual and technical background. </w:t>
      </w:r>
      <w:r w:rsidR="00E94A8A">
        <w:rPr>
          <w:rFonts w:asciiTheme="minorBidi" w:hAnsiTheme="minorBidi"/>
          <w:lang w:val="en-ZA"/>
        </w:rPr>
        <w:t>This chapter aims</w:t>
      </w:r>
      <w:r w:rsidRPr="00517EC4">
        <w:rPr>
          <w:rFonts w:asciiTheme="minorBidi" w:hAnsiTheme="minorBidi"/>
          <w:lang w:val="en-ZA"/>
        </w:rPr>
        <w:t xml:space="preserve"> to explain the shift from traditional software as a medical device to adaptive AIaMD, and to describe the risk profile that follows from post-deployment learning and model drift. It defines key terms, situates AIaMD within the broader digital-health landscape, and explains why pre-market assessment alone is insufficient for technologies whose performance may change over time. The chapter also introduces the idea of continuous compliance</w:t>
      </w:r>
      <w:r w:rsidR="00E94A8A">
        <w:rPr>
          <w:rFonts w:asciiTheme="minorBidi" w:hAnsiTheme="minorBidi"/>
          <w:lang w:val="en-ZA"/>
        </w:rPr>
        <w:t>. It shows</w:t>
      </w:r>
      <w:r w:rsidRPr="00517EC4">
        <w:rPr>
          <w:rFonts w:asciiTheme="minorBidi" w:hAnsiTheme="minorBidi"/>
          <w:lang w:val="en-ZA"/>
        </w:rPr>
        <w:t xml:space="preserve"> how pressures from other high-novelty interventions, such as CRISPR-based therapies, reinforce the need to treat post-market surveillance as a central regulatory function.</w:t>
      </w:r>
    </w:p>
    <w:p w14:paraId="066685A7" w14:textId="77777777" w:rsidR="00323A13" w:rsidRPr="00517EC4" w:rsidRDefault="00323A13" w:rsidP="00667ED0">
      <w:pPr>
        <w:ind w:left="720"/>
        <w:rPr>
          <w:rFonts w:asciiTheme="minorBidi" w:hAnsiTheme="minorBidi"/>
          <w:lang w:val="en-ZA"/>
        </w:rPr>
      </w:pPr>
    </w:p>
    <w:p w14:paraId="2622047A" w14:textId="32997FDE" w:rsidR="00323A13" w:rsidRPr="00517EC4" w:rsidRDefault="00323A13" w:rsidP="00667ED0">
      <w:pPr>
        <w:ind w:left="720"/>
        <w:rPr>
          <w:rFonts w:asciiTheme="minorBidi" w:hAnsiTheme="minorBidi"/>
          <w:lang w:val="en-ZA"/>
        </w:rPr>
      </w:pPr>
      <w:r w:rsidRPr="00517EC4">
        <w:rPr>
          <w:rFonts w:asciiTheme="minorBidi" w:hAnsiTheme="minorBidi"/>
          <w:b/>
          <w:bCs/>
          <w:lang w:val="en-ZA"/>
        </w:rPr>
        <w:t>Chapter 3</w:t>
      </w:r>
      <w:r w:rsidRPr="00517EC4">
        <w:rPr>
          <w:rFonts w:asciiTheme="minorBidi" w:hAnsiTheme="minorBidi"/>
          <w:lang w:val="en-ZA"/>
        </w:rPr>
        <w:t xml:space="preserve"> examines the South African legal and institutional framework. </w:t>
      </w:r>
      <w:r w:rsidR="00E94A8A">
        <w:rPr>
          <w:rFonts w:asciiTheme="minorBidi" w:hAnsiTheme="minorBidi"/>
          <w:lang w:val="en-ZA"/>
        </w:rPr>
        <w:t>This chapter aims</w:t>
      </w:r>
      <w:r w:rsidRPr="00517EC4">
        <w:rPr>
          <w:rFonts w:asciiTheme="minorBidi" w:hAnsiTheme="minorBidi"/>
          <w:lang w:val="en-ZA"/>
        </w:rPr>
        <w:t xml:space="preserve"> to trace how regulatory authority over SaMD and AIaMD is allocated within South Africa’s legal order, from the Constitution, through the National Health Act and the Medicines and Related Substances Act, to the Minister of Health and SAHPRA. It describes the existing regulation of medical devices and digital health, including current post-market surveillance mechanisms</w:t>
      </w:r>
      <w:r w:rsidR="00E94A8A">
        <w:rPr>
          <w:rFonts w:asciiTheme="minorBidi" w:hAnsiTheme="minorBidi"/>
          <w:lang w:val="en-ZA"/>
        </w:rPr>
        <w:t>. It considers</w:t>
      </w:r>
      <w:r w:rsidRPr="00517EC4">
        <w:rPr>
          <w:rFonts w:asciiTheme="minorBidi" w:hAnsiTheme="minorBidi"/>
          <w:lang w:val="en-ZA"/>
        </w:rPr>
        <w:t xml:space="preserve"> the roles and limits of other bodies</w:t>
      </w:r>
      <w:r w:rsidR="00E94A8A">
        <w:rPr>
          <w:rFonts w:asciiTheme="minorBidi" w:hAnsiTheme="minorBidi"/>
          <w:lang w:val="en-ZA"/>
        </w:rPr>
        <w:t>,</w:t>
      </w:r>
      <w:r w:rsidRPr="00517EC4">
        <w:rPr>
          <w:rFonts w:asciiTheme="minorBidi" w:hAnsiTheme="minorBidi"/>
          <w:lang w:val="en-ZA"/>
        </w:rPr>
        <w:t xml:space="preserve"> such as research ethics committees. The chapter identifies where, within this framework, a model of continuous compliance for adaptive devices could be located and where gaps in tools or capacity are already apparent.</w:t>
      </w:r>
    </w:p>
    <w:p w14:paraId="021287A1" w14:textId="77777777" w:rsidR="00323A13" w:rsidRPr="00517EC4" w:rsidRDefault="00323A13" w:rsidP="00667ED0">
      <w:pPr>
        <w:ind w:left="720"/>
        <w:rPr>
          <w:rFonts w:asciiTheme="minorBidi" w:hAnsiTheme="minorBidi"/>
          <w:lang w:val="en-ZA"/>
        </w:rPr>
      </w:pPr>
    </w:p>
    <w:p w14:paraId="1BE9CDA8" w14:textId="4ADA8DA2" w:rsidR="00323A13" w:rsidRPr="00517EC4" w:rsidRDefault="00323A13" w:rsidP="00667ED0">
      <w:pPr>
        <w:ind w:left="720"/>
        <w:rPr>
          <w:rFonts w:asciiTheme="minorBidi" w:hAnsiTheme="minorBidi"/>
          <w:lang w:val="en-ZA"/>
        </w:rPr>
      </w:pPr>
      <w:r w:rsidRPr="00517EC4">
        <w:rPr>
          <w:rFonts w:asciiTheme="minorBidi" w:hAnsiTheme="minorBidi"/>
          <w:b/>
          <w:bCs/>
          <w:lang w:val="en-ZA"/>
        </w:rPr>
        <w:t>Chapter 4</w:t>
      </w:r>
      <w:r w:rsidRPr="00517EC4">
        <w:rPr>
          <w:rFonts w:asciiTheme="minorBidi" w:hAnsiTheme="minorBidi"/>
          <w:lang w:val="en-ZA"/>
        </w:rPr>
        <w:t xml:space="preserve"> turns to the European Union. </w:t>
      </w:r>
      <w:r w:rsidR="00E94A8A">
        <w:rPr>
          <w:rFonts w:asciiTheme="minorBidi" w:hAnsiTheme="minorBidi"/>
          <w:lang w:val="en-ZA"/>
        </w:rPr>
        <w:t>This chapter aims</w:t>
      </w:r>
      <w:r w:rsidRPr="00517EC4">
        <w:rPr>
          <w:rFonts w:asciiTheme="minorBidi" w:hAnsiTheme="minorBidi"/>
          <w:lang w:val="en-ZA"/>
        </w:rPr>
        <w:t xml:space="preserve"> to set out the main features of the EU approach to SaMD and AIaMD, with a specific focus on lifecycle regulation and post-market surveillance. It provides an overview of the relevant EU instruments and </w:t>
      </w:r>
      <w:r w:rsidR="005E1A1B" w:rsidRPr="00517EC4">
        <w:rPr>
          <w:rFonts w:asciiTheme="minorBidi" w:hAnsiTheme="minorBidi"/>
          <w:lang w:val="en-ZA"/>
        </w:rPr>
        <w:t>guidance</w:t>
      </w:r>
      <w:r w:rsidR="00E94A8A">
        <w:rPr>
          <w:rFonts w:asciiTheme="minorBidi" w:hAnsiTheme="minorBidi"/>
          <w:lang w:val="en-ZA"/>
        </w:rPr>
        <w:t>. It describes</w:t>
      </w:r>
      <w:r w:rsidRPr="00517EC4">
        <w:rPr>
          <w:rFonts w:asciiTheme="minorBidi" w:hAnsiTheme="minorBidi"/>
          <w:lang w:val="en-ZA"/>
        </w:rPr>
        <w:t xml:space="preserve"> how the EU seeks to operationalise continuous compliance through mechanisms such as strengthened </w:t>
      </w:r>
      <w:r w:rsidR="00E94A8A">
        <w:rPr>
          <w:rFonts w:asciiTheme="minorBidi" w:hAnsiTheme="minorBidi"/>
          <w:lang w:val="en-ZA"/>
        </w:rPr>
        <w:t>post-market surveillance obligations, notified bodies,</w:t>
      </w:r>
      <w:r w:rsidRPr="00517EC4">
        <w:rPr>
          <w:rFonts w:asciiTheme="minorBidi" w:hAnsiTheme="minorBidi"/>
          <w:lang w:val="en-ZA"/>
        </w:rPr>
        <w:t xml:space="preserve"> and predefined change-control processes for adaptive or learning systems. This chapter distils the elements of the EU toolkit </w:t>
      </w:r>
      <w:r w:rsidR="00E94A8A">
        <w:rPr>
          <w:rFonts w:asciiTheme="minorBidi" w:hAnsiTheme="minorBidi"/>
          <w:lang w:val="en-ZA"/>
        </w:rPr>
        <w:t>most relevant to</w:t>
      </w:r>
      <w:r w:rsidRPr="00517EC4">
        <w:rPr>
          <w:rFonts w:asciiTheme="minorBidi" w:hAnsiTheme="minorBidi"/>
          <w:lang w:val="en-ZA"/>
        </w:rPr>
        <w:t xml:space="preserve"> a jurisdiction like South Africa.</w:t>
      </w:r>
    </w:p>
    <w:p w14:paraId="73837947" w14:textId="77777777" w:rsidR="00323A13" w:rsidRPr="00517EC4" w:rsidRDefault="00323A13" w:rsidP="00667ED0">
      <w:pPr>
        <w:ind w:left="720"/>
        <w:rPr>
          <w:rFonts w:asciiTheme="minorBidi" w:hAnsiTheme="minorBidi"/>
          <w:lang w:val="en-ZA"/>
        </w:rPr>
      </w:pPr>
    </w:p>
    <w:p w14:paraId="15D08212" w14:textId="4D690939" w:rsidR="00323A13" w:rsidRPr="00517EC4" w:rsidRDefault="00323A13" w:rsidP="00667ED0">
      <w:pPr>
        <w:ind w:left="720"/>
        <w:rPr>
          <w:rFonts w:asciiTheme="minorBidi" w:hAnsiTheme="minorBidi"/>
          <w:lang w:val="en-ZA"/>
        </w:rPr>
      </w:pPr>
      <w:r w:rsidRPr="00517EC4">
        <w:rPr>
          <w:rFonts w:asciiTheme="minorBidi" w:hAnsiTheme="minorBidi"/>
          <w:b/>
          <w:bCs/>
          <w:lang w:val="en-ZA"/>
        </w:rPr>
        <w:t>Chapter 5</w:t>
      </w:r>
      <w:r w:rsidRPr="00517EC4">
        <w:rPr>
          <w:rFonts w:asciiTheme="minorBidi" w:hAnsiTheme="minorBidi"/>
          <w:lang w:val="en-ZA"/>
        </w:rPr>
        <w:t xml:space="preserve"> offers </w:t>
      </w:r>
      <w:r w:rsidR="00E94A8A">
        <w:rPr>
          <w:rFonts w:asciiTheme="minorBidi" w:hAnsiTheme="minorBidi"/>
          <w:lang w:val="en-ZA"/>
        </w:rPr>
        <w:t>a</w:t>
      </w:r>
      <w:r w:rsidRPr="00517EC4">
        <w:rPr>
          <w:rFonts w:asciiTheme="minorBidi" w:hAnsiTheme="minorBidi"/>
          <w:lang w:val="en-ZA"/>
        </w:rPr>
        <w:t xml:space="preserve"> comparative analysis and evaluates South Africa’s regulatory readiness. </w:t>
      </w:r>
      <w:r w:rsidR="00E94A8A">
        <w:rPr>
          <w:rFonts w:asciiTheme="minorBidi" w:hAnsiTheme="minorBidi"/>
          <w:lang w:val="en-ZA"/>
        </w:rPr>
        <w:t>This chapter aims</w:t>
      </w:r>
      <w:r w:rsidRPr="00517EC4">
        <w:rPr>
          <w:rFonts w:asciiTheme="minorBidi" w:hAnsiTheme="minorBidi"/>
          <w:lang w:val="en-ZA"/>
        </w:rPr>
        <w:t xml:space="preserve"> to place the South African and EU frameworks side by side and assess the extent to which South Africa is conceptually and institutionally equipped to support continuous compliance for SaMD and AIaMD. It compares regulatory philosophies, institutional structures</w:t>
      </w:r>
      <w:r w:rsidR="00E94A8A">
        <w:rPr>
          <w:rFonts w:asciiTheme="minorBidi" w:hAnsiTheme="minorBidi"/>
          <w:lang w:val="en-ZA"/>
        </w:rPr>
        <w:t>,</w:t>
      </w:r>
      <w:r w:rsidRPr="00517EC4">
        <w:rPr>
          <w:rFonts w:asciiTheme="minorBidi" w:hAnsiTheme="minorBidi"/>
          <w:lang w:val="en-ZA"/>
        </w:rPr>
        <w:t xml:space="preserve"> and available tools, maps EU mechanisms onto the South African framework, and identifies areas of </w:t>
      </w:r>
      <w:r w:rsidRPr="00517EC4">
        <w:rPr>
          <w:rFonts w:asciiTheme="minorBidi" w:hAnsiTheme="minorBidi"/>
          <w:lang w:val="en-ZA"/>
        </w:rPr>
        <w:lastRenderedPageBreak/>
        <w:t>alignment and friction. The chapter then considers practical implementation challenges in South Africa and outlines options for legal and institutional reform that could strengthen post-market surveillance for adaptive devices.</w:t>
      </w:r>
    </w:p>
    <w:p w14:paraId="7B1AA7F4" w14:textId="77777777" w:rsidR="00323A13" w:rsidRPr="00517EC4" w:rsidRDefault="00323A13" w:rsidP="00667ED0">
      <w:pPr>
        <w:ind w:left="720"/>
        <w:rPr>
          <w:rFonts w:asciiTheme="minorBidi" w:hAnsiTheme="minorBidi"/>
          <w:lang w:val="en-ZA"/>
        </w:rPr>
      </w:pPr>
    </w:p>
    <w:p w14:paraId="544AB94E" w14:textId="251EE885" w:rsidR="008A2DE6" w:rsidRDefault="00323A13" w:rsidP="008A2DE6">
      <w:pPr>
        <w:ind w:left="720"/>
      </w:pPr>
      <w:r w:rsidRPr="00517EC4">
        <w:rPr>
          <w:rFonts w:asciiTheme="minorBidi" w:hAnsiTheme="minorBidi"/>
          <w:b/>
          <w:bCs/>
          <w:lang w:val="en-ZA"/>
        </w:rPr>
        <w:t>Chapter 6</w:t>
      </w:r>
      <w:r w:rsidRPr="00517EC4">
        <w:rPr>
          <w:rFonts w:asciiTheme="minorBidi" w:hAnsiTheme="minorBidi"/>
          <w:lang w:val="en-ZA"/>
        </w:rPr>
        <w:t xml:space="preserve"> provides the conclusion. </w:t>
      </w:r>
      <w:r w:rsidR="00E94A8A">
        <w:rPr>
          <w:rFonts w:asciiTheme="minorBidi" w:hAnsiTheme="minorBidi"/>
          <w:lang w:val="en-ZA"/>
        </w:rPr>
        <w:t xml:space="preserve">This chapter aims </w:t>
      </w:r>
      <w:r w:rsidRPr="00517EC4">
        <w:rPr>
          <w:rFonts w:asciiTheme="minorBidi" w:hAnsiTheme="minorBidi"/>
          <w:lang w:val="en-ZA"/>
        </w:rPr>
        <w:t>to answer the central research question directly by drawing together the analysis from the preceding chapters. It summarises the key findings on continuous compliance, the allocation of regulatory authority</w:t>
      </w:r>
      <w:r w:rsidR="00E94A8A">
        <w:rPr>
          <w:rFonts w:asciiTheme="minorBidi" w:hAnsiTheme="minorBidi"/>
          <w:lang w:val="en-ZA"/>
        </w:rPr>
        <w:t>,</w:t>
      </w:r>
      <w:r w:rsidRPr="00517EC4">
        <w:rPr>
          <w:rFonts w:asciiTheme="minorBidi" w:hAnsiTheme="minorBidi"/>
          <w:lang w:val="en-ZA"/>
        </w:rPr>
        <w:t xml:space="preserve"> and South Africa’s readiness to regulate SaMD and AIaMD. The chapter also sets out the main recommendations for law and policy, reflects on the limitations of this doctrinal desktop study, and suggests areas </w:t>
      </w:r>
      <w:r w:rsidR="00086674">
        <w:rPr>
          <w:rFonts w:asciiTheme="minorBidi" w:hAnsiTheme="minorBidi"/>
          <w:lang w:val="en-ZA"/>
        </w:rPr>
        <w:t>for further empirical or interdisciplinary research</w:t>
      </w:r>
      <w:r w:rsidRPr="00517EC4">
        <w:rPr>
          <w:rFonts w:asciiTheme="minorBidi" w:hAnsiTheme="minorBidi"/>
          <w:lang w:val="en-ZA"/>
        </w:rPr>
        <w:t>.</w:t>
      </w:r>
    </w:p>
    <w:p w14:paraId="24BE9DF8" w14:textId="0DD1E5A8" w:rsidR="00086674" w:rsidRPr="00960028" w:rsidRDefault="00086674" w:rsidP="00086674">
      <w:pPr>
        <w:pStyle w:val="Heading1"/>
        <w:rPr>
          <w:rFonts w:asciiTheme="minorBidi" w:hAnsiTheme="minorBidi" w:cstheme="minorBidi"/>
          <w:color w:val="000000" w:themeColor="text1"/>
          <w:lang w:val="en-ZA"/>
        </w:rPr>
      </w:pPr>
      <w:bookmarkStart w:id="17" w:name="_Toc217045481"/>
      <w:r w:rsidRPr="00960028">
        <w:rPr>
          <w:rFonts w:asciiTheme="minorBidi" w:hAnsiTheme="minorBidi" w:cstheme="minorBidi"/>
          <w:color w:val="000000" w:themeColor="text1"/>
          <w:lang w:val="en-ZA"/>
        </w:rPr>
        <w:t>8: Workplan</w:t>
      </w:r>
      <w:bookmarkEnd w:id="17"/>
    </w:p>
    <w:p w14:paraId="406B2C22" w14:textId="77777777" w:rsidR="00086674" w:rsidRDefault="00086674" w:rsidP="00086674">
      <w:pPr>
        <w:rPr>
          <w:lang w:val="en-ZA"/>
        </w:rPr>
      </w:pPr>
    </w:p>
    <w:tbl>
      <w:tblPr>
        <w:tblStyle w:val="TableGrid"/>
        <w:tblW w:w="7610" w:type="dxa"/>
        <w:tblInd w:w="720" w:type="dxa"/>
        <w:tblLook w:val="04A0" w:firstRow="1" w:lastRow="0" w:firstColumn="1" w:lastColumn="0" w:noHBand="0" w:noVBand="1"/>
      </w:tblPr>
      <w:tblGrid>
        <w:gridCol w:w="3085"/>
        <w:gridCol w:w="4525"/>
      </w:tblGrid>
      <w:tr w:rsidR="00086674" w14:paraId="45133BF7" w14:textId="77777777" w:rsidTr="00086674">
        <w:tc>
          <w:tcPr>
            <w:tcW w:w="3085" w:type="dxa"/>
          </w:tcPr>
          <w:p w14:paraId="075FF5E0" w14:textId="7173F7E4" w:rsidR="00086674" w:rsidRPr="00086674" w:rsidRDefault="00086674" w:rsidP="00086674">
            <w:pPr>
              <w:rPr>
                <w:rFonts w:asciiTheme="minorBidi" w:hAnsiTheme="minorBidi"/>
                <w:lang w:val="en-ZA"/>
              </w:rPr>
            </w:pPr>
            <w:r w:rsidRPr="00086674">
              <w:rPr>
                <w:rFonts w:asciiTheme="minorBidi" w:hAnsiTheme="minorBidi"/>
                <w:b/>
                <w:bCs/>
                <w:lang w:val="en-ZA"/>
              </w:rPr>
              <w:t>Activity</w:t>
            </w:r>
          </w:p>
        </w:tc>
        <w:tc>
          <w:tcPr>
            <w:tcW w:w="4525" w:type="dxa"/>
          </w:tcPr>
          <w:p w14:paraId="07683DB0" w14:textId="7C2E0683" w:rsidR="00086674" w:rsidRPr="00086674" w:rsidRDefault="00086674" w:rsidP="00086674">
            <w:pPr>
              <w:rPr>
                <w:rFonts w:asciiTheme="minorBidi" w:hAnsiTheme="minorBidi"/>
                <w:lang w:val="en-ZA"/>
              </w:rPr>
            </w:pPr>
            <w:r w:rsidRPr="00086674">
              <w:rPr>
                <w:rFonts w:asciiTheme="minorBidi" w:hAnsiTheme="minorBidi"/>
                <w:b/>
                <w:bCs/>
                <w:lang w:val="en-ZA"/>
              </w:rPr>
              <w:t>Timeline</w:t>
            </w:r>
          </w:p>
        </w:tc>
      </w:tr>
      <w:tr w:rsidR="00086674" w14:paraId="66545874" w14:textId="77777777" w:rsidTr="00086674">
        <w:tc>
          <w:tcPr>
            <w:tcW w:w="3085" w:type="dxa"/>
          </w:tcPr>
          <w:p w14:paraId="0DF040F6" w14:textId="702D0517" w:rsidR="00086674" w:rsidRPr="00086674" w:rsidRDefault="00086674" w:rsidP="00086674">
            <w:pPr>
              <w:rPr>
                <w:rFonts w:asciiTheme="minorBidi" w:hAnsiTheme="minorBidi"/>
                <w:lang w:val="en-ZA"/>
              </w:rPr>
            </w:pPr>
            <w:r w:rsidRPr="00086674">
              <w:rPr>
                <w:rFonts w:asciiTheme="minorBidi" w:hAnsiTheme="minorBidi"/>
                <w:lang w:val="en-ZA"/>
              </w:rPr>
              <w:t>Defence of research proposal</w:t>
            </w:r>
          </w:p>
        </w:tc>
        <w:tc>
          <w:tcPr>
            <w:tcW w:w="4525" w:type="dxa"/>
          </w:tcPr>
          <w:p w14:paraId="54F8C2C1" w14:textId="7ADF509A" w:rsidR="00086674" w:rsidRPr="00086674" w:rsidRDefault="00086674" w:rsidP="00086674">
            <w:pPr>
              <w:rPr>
                <w:rFonts w:asciiTheme="minorBidi" w:hAnsiTheme="minorBidi"/>
                <w:lang w:val="en-ZA"/>
              </w:rPr>
            </w:pPr>
            <w:r w:rsidRPr="00086674">
              <w:rPr>
                <w:rFonts w:asciiTheme="minorBidi" w:hAnsiTheme="minorBidi"/>
                <w:lang w:val="en-ZA"/>
              </w:rPr>
              <w:t>January 2026</w:t>
            </w:r>
          </w:p>
        </w:tc>
      </w:tr>
      <w:tr w:rsidR="00086674" w14:paraId="045F8DAD" w14:textId="77777777" w:rsidTr="00086674">
        <w:tc>
          <w:tcPr>
            <w:tcW w:w="3085" w:type="dxa"/>
          </w:tcPr>
          <w:p w14:paraId="4CD23B06" w14:textId="18E52FB5" w:rsidR="00086674" w:rsidRPr="00086674" w:rsidRDefault="00086674" w:rsidP="00086674">
            <w:pPr>
              <w:rPr>
                <w:rFonts w:asciiTheme="minorBidi" w:hAnsiTheme="minorBidi"/>
                <w:lang w:val="en-ZA"/>
              </w:rPr>
            </w:pPr>
            <w:r w:rsidRPr="00086674">
              <w:rPr>
                <w:rFonts w:asciiTheme="minorBidi" w:hAnsiTheme="minorBidi"/>
                <w:lang w:val="en-ZA"/>
              </w:rPr>
              <w:t>Submission for Ethics approval</w:t>
            </w:r>
          </w:p>
        </w:tc>
        <w:tc>
          <w:tcPr>
            <w:tcW w:w="4525" w:type="dxa"/>
          </w:tcPr>
          <w:p w14:paraId="382F29B3" w14:textId="7B751338" w:rsidR="00086674" w:rsidRPr="00086674" w:rsidRDefault="00086674" w:rsidP="00086674">
            <w:pPr>
              <w:rPr>
                <w:rFonts w:asciiTheme="minorBidi" w:hAnsiTheme="minorBidi"/>
                <w:lang w:val="en-ZA"/>
              </w:rPr>
            </w:pPr>
            <w:r w:rsidRPr="00086674">
              <w:rPr>
                <w:rFonts w:asciiTheme="minorBidi" w:hAnsiTheme="minorBidi"/>
                <w:lang w:val="en-ZA"/>
              </w:rPr>
              <w:t>January 2026</w:t>
            </w:r>
          </w:p>
        </w:tc>
      </w:tr>
      <w:tr w:rsidR="00086674" w14:paraId="7F48F994" w14:textId="77777777" w:rsidTr="00086674">
        <w:tc>
          <w:tcPr>
            <w:tcW w:w="3085" w:type="dxa"/>
          </w:tcPr>
          <w:p w14:paraId="60CACA90" w14:textId="210315E8" w:rsidR="00086674" w:rsidRPr="00086674" w:rsidRDefault="00086674" w:rsidP="00086674">
            <w:pPr>
              <w:rPr>
                <w:rFonts w:asciiTheme="minorBidi" w:hAnsiTheme="minorBidi"/>
                <w:lang w:val="en-ZA"/>
              </w:rPr>
            </w:pPr>
            <w:r w:rsidRPr="00086674">
              <w:rPr>
                <w:rFonts w:asciiTheme="minorBidi" w:hAnsiTheme="minorBidi"/>
                <w:lang w:val="en-ZA"/>
              </w:rPr>
              <w:t>Chapter 1, 2 &amp; 3</w:t>
            </w:r>
          </w:p>
        </w:tc>
        <w:tc>
          <w:tcPr>
            <w:tcW w:w="4525" w:type="dxa"/>
          </w:tcPr>
          <w:p w14:paraId="5EC9D04D" w14:textId="01C9879C" w:rsidR="00086674" w:rsidRPr="00086674" w:rsidRDefault="00086674" w:rsidP="00086674">
            <w:pPr>
              <w:rPr>
                <w:rFonts w:asciiTheme="minorBidi" w:hAnsiTheme="minorBidi"/>
                <w:lang w:val="en-ZA"/>
              </w:rPr>
            </w:pPr>
            <w:r w:rsidRPr="00086674">
              <w:rPr>
                <w:rFonts w:asciiTheme="minorBidi" w:hAnsiTheme="minorBidi"/>
                <w:lang w:val="en-ZA"/>
              </w:rPr>
              <w:t>February 2026</w:t>
            </w:r>
          </w:p>
        </w:tc>
      </w:tr>
      <w:tr w:rsidR="00086674" w14:paraId="037B7E26" w14:textId="77777777" w:rsidTr="00086674">
        <w:tc>
          <w:tcPr>
            <w:tcW w:w="3085" w:type="dxa"/>
          </w:tcPr>
          <w:p w14:paraId="2D9B9A47" w14:textId="1128E8C0" w:rsidR="00086674" w:rsidRPr="00086674" w:rsidRDefault="00086674" w:rsidP="00086674">
            <w:pPr>
              <w:rPr>
                <w:rFonts w:asciiTheme="minorBidi" w:hAnsiTheme="minorBidi"/>
                <w:lang w:val="en-ZA"/>
              </w:rPr>
            </w:pPr>
            <w:r w:rsidRPr="00086674">
              <w:rPr>
                <w:rFonts w:asciiTheme="minorBidi" w:hAnsiTheme="minorBidi"/>
                <w:lang w:val="en-ZA"/>
              </w:rPr>
              <w:t>Chapter 4,5 &amp; 6</w:t>
            </w:r>
          </w:p>
        </w:tc>
        <w:tc>
          <w:tcPr>
            <w:tcW w:w="4525" w:type="dxa"/>
          </w:tcPr>
          <w:p w14:paraId="457A64D8" w14:textId="109DCEA1" w:rsidR="00086674" w:rsidRPr="00086674" w:rsidRDefault="00086674" w:rsidP="00086674">
            <w:pPr>
              <w:rPr>
                <w:rFonts w:asciiTheme="minorBidi" w:hAnsiTheme="minorBidi"/>
                <w:lang w:val="en-ZA"/>
              </w:rPr>
            </w:pPr>
            <w:r w:rsidRPr="00086674">
              <w:rPr>
                <w:rFonts w:asciiTheme="minorBidi" w:hAnsiTheme="minorBidi"/>
                <w:lang w:val="en-ZA"/>
              </w:rPr>
              <w:t>March 2026</w:t>
            </w:r>
          </w:p>
        </w:tc>
      </w:tr>
      <w:tr w:rsidR="00086674" w14:paraId="58201CE3" w14:textId="77777777" w:rsidTr="00086674">
        <w:tc>
          <w:tcPr>
            <w:tcW w:w="3085" w:type="dxa"/>
          </w:tcPr>
          <w:p w14:paraId="4F2A4376" w14:textId="5DC31CB8" w:rsidR="00086674" w:rsidRPr="00086674" w:rsidRDefault="00086674" w:rsidP="00086674">
            <w:pPr>
              <w:rPr>
                <w:rFonts w:asciiTheme="minorBidi" w:hAnsiTheme="minorBidi"/>
                <w:lang w:val="en-ZA"/>
              </w:rPr>
            </w:pPr>
            <w:r w:rsidRPr="00086674">
              <w:rPr>
                <w:rFonts w:asciiTheme="minorBidi" w:hAnsiTheme="minorBidi"/>
                <w:lang w:val="en-ZA"/>
              </w:rPr>
              <w:t>Revision</w:t>
            </w:r>
          </w:p>
        </w:tc>
        <w:tc>
          <w:tcPr>
            <w:tcW w:w="4525" w:type="dxa"/>
          </w:tcPr>
          <w:p w14:paraId="236AED58" w14:textId="2A0D5FCB" w:rsidR="00086674" w:rsidRPr="00086674" w:rsidRDefault="00086674" w:rsidP="00086674">
            <w:pPr>
              <w:rPr>
                <w:rFonts w:asciiTheme="minorBidi" w:hAnsiTheme="minorBidi"/>
                <w:lang w:val="en-ZA"/>
              </w:rPr>
            </w:pPr>
            <w:r w:rsidRPr="00086674">
              <w:rPr>
                <w:rFonts w:asciiTheme="minorBidi" w:hAnsiTheme="minorBidi"/>
                <w:lang w:val="en-ZA"/>
              </w:rPr>
              <w:t>April 2026</w:t>
            </w:r>
          </w:p>
        </w:tc>
      </w:tr>
      <w:tr w:rsidR="00086674" w14:paraId="781BDC0E" w14:textId="77777777" w:rsidTr="00086674">
        <w:tc>
          <w:tcPr>
            <w:tcW w:w="3085" w:type="dxa"/>
          </w:tcPr>
          <w:p w14:paraId="246AFBA9" w14:textId="06883E66" w:rsidR="00086674" w:rsidRPr="00086674" w:rsidRDefault="00086674" w:rsidP="00086674">
            <w:pPr>
              <w:rPr>
                <w:rFonts w:asciiTheme="minorBidi" w:hAnsiTheme="minorBidi"/>
                <w:lang w:val="en-ZA"/>
              </w:rPr>
            </w:pPr>
            <w:r w:rsidRPr="00086674">
              <w:rPr>
                <w:rFonts w:asciiTheme="minorBidi" w:hAnsiTheme="minorBidi"/>
                <w:lang w:val="en-ZA"/>
              </w:rPr>
              <w:t>Submission</w:t>
            </w:r>
          </w:p>
        </w:tc>
        <w:tc>
          <w:tcPr>
            <w:tcW w:w="4525" w:type="dxa"/>
          </w:tcPr>
          <w:p w14:paraId="3745495A" w14:textId="03184202" w:rsidR="00086674" w:rsidRPr="00086674" w:rsidRDefault="00086674" w:rsidP="00086674">
            <w:pPr>
              <w:rPr>
                <w:rFonts w:asciiTheme="minorBidi" w:hAnsiTheme="minorBidi"/>
                <w:lang w:val="en-ZA"/>
              </w:rPr>
            </w:pPr>
            <w:r w:rsidRPr="00086674">
              <w:rPr>
                <w:rFonts w:asciiTheme="minorBidi" w:hAnsiTheme="minorBidi"/>
                <w:lang w:val="en-ZA"/>
              </w:rPr>
              <w:t xml:space="preserve">April 2026 </w:t>
            </w:r>
          </w:p>
        </w:tc>
      </w:tr>
    </w:tbl>
    <w:p w14:paraId="22ECF68D" w14:textId="77777777" w:rsidR="00086674" w:rsidRDefault="00086674" w:rsidP="00086674">
      <w:pPr>
        <w:rPr>
          <w:lang w:val="en-ZA"/>
        </w:rPr>
      </w:pPr>
    </w:p>
    <w:p w14:paraId="605DA94D" w14:textId="515CAD3E" w:rsidR="00960028" w:rsidRPr="00960028" w:rsidRDefault="00960028" w:rsidP="00960028">
      <w:pPr>
        <w:pStyle w:val="Heading1"/>
        <w:rPr>
          <w:rFonts w:asciiTheme="minorBidi" w:hAnsiTheme="minorBidi" w:cstheme="minorBidi"/>
          <w:color w:val="000000" w:themeColor="text1"/>
          <w:lang w:val="en-ZA"/>
        </w:rPr>
      </w:pPr>
      <w:bookmarkStart w:id="18" w:name="_Toc217045482"/>
      <w:r w:rsidRPr="00960028">
        <w:rPr>
          <w:rFonts w:asciiTheme="minorBidi" w:hAnsiTheme="minorBidi" w:cstheme="minorBidi"/>
          <w:color w:val="000000" w:themeColor="text1"/>
          <w:lang w:val="en-ZA"/>
        </w:rPr>
        <w:t>9:  References</w:t>
      </w:r>
      <w:bookmarkEnd w:id="18"/>
    </w:p>
    <w:p w14:paraId="78D79BEB" w14:textId="77777777" w:rsidR="00960028" w:rsidRPr="00960028" w:rsidRDefault="00960028" w:rsidP="00960028">
      <w:pPr>
        <w:rPr>
          <w:lang w:val="en-ZA"/>
        </w:rPr>
      </w:pPr>
    </w:p>
    <w:p w14:paraId="18D0053C" w14:textId="5D506DD4" w:rsidR="00960028" w:rsidRPr="00960028" w:rsidRDefault="00BC09D4" w:rsidP="00960028">
      <w:pPr>
        <w:rPr>
          <w:rFonts w:asciiTheme="minorBidi" w:hAnsiTheme="minorBidi"/>
          <w:b/>
          <w:bCs/>
          <w:lang w:val="en-ZA"/>
        </w:rPr>
      </w:pPr>
      <w:r>
        <w:rPr>
          <w:rFonts w:asciiTheme="minorBidi" w:hAnsiTheme="minorBidi"/>
          <w:b/>
          <w:bCs/>
          <w:lang w:val="en-ZA"/>
        </w:rPr>
        <w:t xml:space="preserve">9.1 </w:t>
      </w:r>
      <w:r w:rsidR="00960028" w:rsidRPr="00960028">
        <w:rPr>
          <w:rFonts w:asciiTheme="minorBidi" w:hAnsiTheme="minorBidi"/>
          <w:b/>
          <w:bCs/>
          <w:lang w:val="en-ZA"/>
        </w:rPr>
        <w:t>Secondary sources</w:t>
      </w:r>
    </w:p>
    <w:p w14:paraId="7F658950" w14:textId="5E168BE8"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African Union ‘Dr Delese Mimi Darko Appointed Inaugural Director General of the African Medicines Agency (AMA)’ (4 June 2025) available at </w:t>
      </w:r>
      <w:r w:rsidRPr="00BC09D4">
        <w:rPr>
          <w:rFonts w:asciiTheme="minorBidi" w:hAnsiTheme="minorBidi"/>
          <w:i/>
          <w:iCs/>
          <w:lang w:val="en-ZA"/>
        </w:rPr>
        <w:t>https://au.int/en/pressreleases/20250604/dr-delese-mimi-darko-appointed-inaugural-director-general-african-medicines</w:t>
      </w:r>
      <w:r w:rsidRPr="00960028">
        <w:rPr>
          <w:rFonts w:asciiTheme="minorBidi" w:hAnsiTheme="minorBidi"/>
          <w:lang w:val="en-ZA"/>
        </w:rPr>
        <w:t>, accessed on 11 August 2025.</w:t>
      </w:r>
    </w:p>
    <w:p w14:paraId="7551BCF1" w14:textId="474EF27C"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AUDA-NEPAD ‘A Landmark Agreement Among Africa’s Leading National Medicines Regulatory Authorities to Foster Reliance’ (5 February 2025) available at </w:t>
      </w:r>
      <w:r w:rsidRPr="00BC09D4">
        <w:rPr>
          <w:rFonts w:asciiTheme="minorBidi" w:hAnsiTheme="minorBidi"/>
          <w:i/>
          <w:iCs/>
          <w:lang w:val="en-ZA"/>
        </w:rPr>
        <w:t>https://www.nepad.org/news/landmark-agreement-among-africas-leading-national-medicines-regulatory-authorities</w:t>
      </w:r>
      <w:r w:rsidRPr="00960028">
        <w:rPr>
          <w:rFonts w:asciiTheme="minorBidi" w:hAnsiTheme="minorBidi"/>
          <w:lang w:val="en-ZA"/>
        </w:rPr>
        <w:t>, accessed on 11 August 2025.</w:t>
      </w:r>
    </w:p>
    <w:p w14:paraId="5BCA658E" w14:textId="72859A4A"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AUDA-NEPAD Africa Medical Devices Forum (AMDF) ‘Africa Medical Devices Forum (AMDF)’ (undated) available at </w:t>
      </w:r>
      <w:r w:rsidRPr="00BC09D4">
        <w:rPr>
          <w:rFonts w:asciiTheme="minorBidi" w:hAnsiTheme="minorBidi"/>
          <w:i/>
          <w:iCs/>
          <w:lang w:val="en-ZA"/>
        </w:rPr>
        <w:t>https://www.nepad.org/microsite/africa-medical-devices-forum-amdf</w:t>
      </w:r>
      <w:r w:rsidRPr="00960028">
        <w:rPr>
          <w:rFonts w:asciiTheme="minorBidi" w:hAnsiTheme="minorBidi"/>
          <w:lang w:val="en-ZA"/>
        </w:rPr>
        <w:t>, accessed on 11 August 2025.</w:t>
      </w:r>
    </w:p>
    <w:p w14:paraId="7EA6EA19" w14:textId="7A50DD0C"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lastRenderedPageBreak/>
        <w:t xml:space="preserve">AUDA-NEPAD African Medicines Regulatory Harmonisation (AMRH) ‘AMRH Home’ (undated) available at </w:t>
      </w:r>
      <w:r w:rsidRPr="00BC09D4">
        <w:rPr>
          <w:rFonts w:asciiTheme="minorBidi" w:hAnsiTheme="minorBidi"/>
          <w:i/>
          <w:iCs/>
          <w:lang w:val="en-ZA"/>
        </w:rPr>
        <w:t>https://amrh.nepad.org/</w:t>
      </w:r>
      <w:r w:rsidRPr="00960028">
        <w:rPr>
          <w:rFonts w:asciiTheme="minorBidi" w:hAnsiTheme="minorBidi"/>
          <w:lang w:val="en-ZA"/>
        </w:rPr>
        <w:t>, accessed on 11 August 2025.</w:t>
      </w:r>
    </w:p>
    <w:p w14:paraId="646FC867" w14:textId="3E3DCBFE"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AUDA-NEPAD/AMDF </w:t>
      </w:r>
      <w:r w:rsidRPr="00960028">
        <w:rPr>
          <w:rFonts w:asciiTheme="minorBidi" w:hAnsiTheme="minorBidi"/>
          <w:i/>
          <w:iCs/>
          <w:lang w:val="en-ZA"/>
        </w:rPr>
        <w:t>Guidelines on Requirements on Labelling of Medical Devices Including In Vitro Diagnostic Medical Devices</w:t>
      </w:r>
      <w:r w:rsidRPr="00960028">
        <w:rPr>
          <w:rFonts w:asciiTheme="minorBidi" w:hAnsiTheme="minorBidi"/>
          <w:lang w:val="en-ZA"/>
        </w:rPr>
        <w:t xml:space="preserve"> (2024) available at </w:t>
      </w:r>
      <w:r w:rsidRPr="00BC09D4">
        <w:rPr>
          <w:rFonts w:asciiTheme="minorBidi" w:hAnsiTheme="minorBidi"/>
          <w:i/>
          <w:iCs/>
          <w:lang w:val="en-ZA"/>
        </w:rPr>
        <w:t>https://www.nepad.org/publication/guidelines-requirements-labelling-of-medical-devices-including-vitro-diagnostic</w:t>
      </w:r>
      <w:r w:rsidRPr="00960028">
        <w:rPr>
          <w:rFonts w:asciiTheme="minorBidi" w:hAnsiTheme="minorBidi"/>
          <w:lang w:val="en-ZA"/>
        </w:rPr>
        <w:t>, accessed on 15 December 2025.</w:t>
      </w:r>
    </w:p>
    <w:p w14:paraId="2F67F30E"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Donnelly, D-L ‘First Do No Harm: Legal Principles Regulating the Future of Artificial Intelligence in Health Care in South Africa’ (2022) 25 </w:t>
      </w:r>
      <w:r w:rsidRPr="00960028">
        <w:rPr>
          <w:rFonts w:asciiTheme="minorBidi" w:hAnsiTheme="minorBidi"/>
          <w:i/>
          <w:iCs/>
          <w:lang w:val="en-ZA"/>
        </w:rPr>
        <w:t>Potchefstroom Electronic Law Journal</w:t>
      </w:r>
      <w:r w:rsidRPr="00960028">
        <w:rPr>
          <w:rFonts w:asciiTheme="minorBidi" w:hAnsiTheme="minorBidi"/>
          <w:lang w:val="en-ZA"/>
        </w:rPr>
        <w:t xml:space="preserve"> 1–43.</w:t>
      </w:r>
    </w:p>
    <w:p w14:paraId="41E43F8B" w14:textId="77777777" w:rsidR="00960028" w:rsidRPr="00960028" w:rsidRDefault="00960028" w:rsidP="00960028">
      <w:pPr>
        <w:pStyle w:val="ListParagraph"/>
        <w:numPr>
          <w:ilvl w:val="0"/>
          <w:numId w:val="16"/>
        </w:numPr>
        <w:rPr>
          <w:rFonts w:asciiTheme="minorBidi" w:hAnsiTheme="minorBidi"/>
          <w:lang w:val="en-ZA"/>
        </w:rPr>
      </w:pPr>
      <w:proofErr w:type="spellStart"/>
      <w:r w:rsidRPr="00960028">
        <w:rPr>
          <w:rFonts w:asciiTheme="minorBidi" w:hAnsiTheme="minorBidi"/>
          <w:lang w:val="en-ZA"/>
        </w:rPr>
        <w:t>Keyter</w:t>
      </w:r>
      <w:proofErr w:type="spellEnd"/>
      <w:r w:rsidRPr="00960028">
        <w:rPr>
          <w:rFonts w:asciiTheme="minorBidi" w:hAnsiTheme="minorBidi"/>
          <w:lang w:val="en-ZA"/>
        </w:rPr>
        <w:t xml:space="preserve">, A, Banoo, S, Salek, S &amp; Walker, S ‘The South African Regulatory System: Past, Present, and Future’ (2018) 9 </w:t>
      </w:r>
      <w:r w:rsidRPr="00960028">
        <w:rPr>
          <w:rFonts w:asciiTheme="minorBidi" w:hAnsiTheme="minorBidi"/>
          <w:i/>
          <w:iCs/>
          <w:lang w:val="en-ZA"/>
        </w:rPr>
        <w:t>Frontiers in Pharmacology</w:t>
      </w:r>
      <w:r w:rsidRPr="00960028">
        <w:rPr>
          <w:rFonts w:asciiTheme="minorBidi" w:hAnsiTheme="minorBidi"/>
          <w:lang w:val="en-ZA"/>
        </w:rPr>
        <w:t xml:space="preserve"> 1407.</w:t>
      </w:r>
    </w:p>
    <w:p w14:paraId="6C66A111"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Laurie, GT, Dove, ES, Ganguli-Mitra, A, Fletcher, I, McMillan, C, Sethi, N &amp; Sorbie, A ‘Charting Regulatory Stewardship in Health Research: Making the Invisible Visible’ (2018) 27(2) </w:t>
      </w:r>
      <w:r w:rsidRPr="00960028">
        <w:rPr>
          <w:rFonts w:asciiTheme="minorBidi" w:hAnsiTheme="minorBidi"/>
          <w:i/>
          <w:iCs/>
          <w:lang w:val="en-ZA"/>
        </w:rPr>
        <w:t>Cambridge Quarterly of Healthcare Ethics</w:t>
      </w:r>
      <w:r w:rsidRPr="00960028">
        <w:rPr>
          <w:rFonts w:asciiTheme="minorBidi" w:hAnsiTheme="minorBidi"/>
          <w:lang w:val="en-ZA"/>
        </w:rPr>
        <w:t xml:space="preserve"> 333–347.</w:t>
      </w:r>
    </w:p>
    <w:p w14:paraId="383E06C2"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Mohammed, S &amp; Malhotra, N ‘Ethical and regulatory challenges in machine learning-based healthcare systems: A review of implementation barriers and future directions’ (2025) 5(1) </w:t>
      </w:r>
      <w:proofErr w:type="spellStart"/>
      <w:r w:rsidRPr="00960028">
        <w:rPr>
          <w:rFonts w:asciiTheme="minorBidi" w:hAnsiTheme="minorBidi"/>
          <w:i/>
          <w:iCs/>
          <w:lang w:val="en-ZA"/>
        </w:rPr>
        <w:t>BenchCouncil</w:t>
      </w:r>
      <w:proofErr w:type="spellEnd"/>
      <w:r w:rsidRPr="00960028">
        <w:rPr>
          <w:rFonts w:asciiTheme="minorBidi" w:hAnsiTheme="minorBidi"/>
          <w:i/>
          <w:iCs/>
          <w:lang w:val="en-ZA"/>
        </w:rPr>
        <w:t xml:space="preserve"> Transactions on Benchmarks, Standards and Evaluations</w:t>
      </w:r>
      <w:r w:rsidRPr="00960028">
        <w:rPr>
          <w:rFonts w:asciiTheme="minorBidi" w:hAnsiTheme="minorBidi"/>
          <w:lang w:val="en-ZA"/>
        </w:rPr>
        <w:t xml:space="preserve"> 100215.</w:t>
      </w:r>
    </w:p>
    <w:p w14:paraId="3E960470"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Naidoo, S, Bottomley, D, Naidoo, M, Donnelly, D &amp; </w:t>
      </w:r>
      <w:proofErr w:type="spellStart"/>
      <w:r w:rsidRPr="00960028">
        <w:rPr>
          <w:rFonts w:asciiTheme="minorBidi" w:hAnsiTheme="minorBidi"/>
          <w:lang w:val="en-ZA"/>
        </w:rPr>
        <w:t>Thaldar</w:t>
      </w:r>
      <w:proofErr w:type="spellEnd"/>
      <w:r w:rsidRPr="00960028">
        <w:rPr>
          <w:rFonts w:asciiTheme="minorBidi" w:hAnsiTheme="minorBidi"/>
          <w:lang w:val="en-ZA"/>
        </w:rPr>
        <w:t xml:space="preserve">, DW ‘Artificial intelligence in healthcare: Proposals for policy development in South Africa’ (2022) 15(1) </w:t>
      </w:r>
      <w:r w:rsidRPr="00960028">
        <w:rPr>
          <w:rFonts w:asciiTheme="minorBidi" w:hAnsiTheme="minorBidi"/>
          <w:i/>
          <w:iCs/>
          <w:lang w:val="en-ZA"/>
        </w:rPr>
        <w:t>South African Journal of Bioethics and Law</w:t>
      </w:r>
      <w:r w:rsidRPr="00960028">
        <w:rPr>
          <w:rFonts w:asciiTheme="minorBidi" w:hAnsiTheme="minorBidi"/>
          <w:lang w:val="en-ZA"/>
        </w:rPr>
        <w:t xml:space="preserve"> 11–16.</w:t>
      </w:r>
    </w:p>
    <w:p w14:paraId="1C350CDD"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Naidoo, T ‘Overview of AI regulation in healthcare: A comparative study of the EU and South Africa’ (2024) 17(3) </w:t>
      </w:r>
      <w:r w:rsidRPr="00960028">
        <w:rPr>
          <w:rFonts w:asciiTheme="minorBidi" w:hAnsiTheme="minorBidi"/>
          <w:i/>
          <w:iCs/>
          <w:lang w:val="en-ZA"/>
        </w:rPr>
        <w:t>South African Journal of Bioethics and Law</w:t>
      </w:r>
      <w:r w:rsidRPr="00960028">
        <w:rPr>
          <w:rFonts w:asciiTheme="minorBidi" w:hAnsiTheme="minorBidi"/>
          <w:lang w:val="en-ZA"/>
        </w:rPr>
        <w:t xml:space="preserve"> 121–126.</w:t>
      </w:r>
    </w:p>
    <w:p w14:paraId="3A3B3B66"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Nasir, N, Molyneux, S, Were, F, Aderoba, A &amp; Fuller, SS ‘Medical device regulation and oversight in African countries: a scoping review of literature and development of a conceptual framework’ (2023) 8(8) </w:t>
      </w:r>
      <w:r w:rsidRPr="00960028">
        <w:rPr>
          <w:rFonts w:asciiTheme="minorBidi" w:hAnsiTheme="minorBidi"/>
          <w:i/>
          <w:iCs/>
          <w:lang w:val="en-ZA"/>
        </w:rPr>
        <w:t>BMJ Global Health</w:t>
      </w:r>
      <w:r w:rsidRPr="00960028">
        <w:rPr>
          <w:rFonts w:asciiTheme="minorBidi" w:hAnsiTheme="minorBidi"/>
          <w:lang w:val="en-ZA"/>
        </w:rPr>
        <w:t xml:space="preserve"> e012308.</w:t>
      </w:r>
    </w:p>
    <w:p w14:paraId="0D628BFA"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Ngcobo, M ‘The ethics and law of medical AI in South Africa: Balancing innovation with responsibility’ (2025) 115(5b) </w:t>
      </w:r>
      <w:r w:rsidRPr="00960028">
        <w:rPr>
          <w:rFonts w:asciiTheme="minorBidi" w:hAnsiTheme="minorBidi"/>
          <w:i/>
          <w:iCs/>
          <w:lang w:val="en-ZA"/>
        </w:rPr>
        <w:t>South African Medical Journal</w:t>
      </w:r>
      <w:r w:rsidRPr="00960028">
        <w:rPr>
          <w:rFonts w:asciiTheme="minorBidi" w:hAnsiTheme="minorBidi"/>
          <w:lang w:val="en-ZA"/>
        </w:rPr>
        <w:t xml:space="preserve"> e3667.</w:t>
      </w:r>
    </w:p>
    <w:p w14:paraId="18A0BA15"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Saidi, T &amp; Douglas, TS ‘Medical device regulation in South Africa: The Medicines and Related Substances Amendment Act 14 of 2015’ (2018) 108(3) </w:t>
      </w:r>
      <w:r w:rsidRPr="00960028">
        <w:rPr>
          <w:rFonts w:asciiTheme="minorBidi" w:hAnsiTheme="minorBidi"/>
          <w:i/>
          <w:iCs/>
          <w:lang w:val="en-ZA"/>
        </w:rPr>
        <w:t>South African Medical Journal</w:t>
      </w:r>
      <w:r w:rsidRPr="00960028">
        <w:rPr>
          <w:rFonts w:asciiTheme="minorBidi" w:hAnsiTheme="minorBidi"/>
          <w:lang w:val="en-ZA"/>
        </w:rPr>
        <w:t xml:space="preserve"> 168–170.</w:t>
      </w:r>
    </w:p>
    <w:p w14:paraId="690F7D4F"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Scott, RE &amp; Mars, M ‘Telehealth in the developing world: </w:t>
      </w:r>
      <w:proofErr w:type="gramStart"/>
      <w:r w:rsidRPr="00960028">
        <w:rPr>
          <w:rFonts w:asciiTheme="minorBidi" w:hAnsiTheme="minorBidi"/>
          <w:lang w:val="en-ZA"/>
        </w:rPr>
        <w:t>current status</w:t>
      </w:r>
      <w:proofErr w:type="gramEnd"/>
      <w:r w:rsidRPr="00960028">
        <w:rPr>
          <w:rFonts w:asciiTheme="minorBidi" w:hAnsiTheme="minorBidi"/>
          <w:lang w:val="en-ZA"/>
        </w:rPr>
        <w:t xml:space="preserve"> and </w:t>
      </w:r>
      <w:proofErr w:type="gramStart"/>
      <w:r w:rsidRPr="00960028">
        <w:rPr>
          <w:rFonts w:asciiTheme="minorBidi" w:hAnsiTheme="minorBidi"/>
          <w:lang w:val="en-ZA"/>
        </w:rPr>
        <w:t>future prospects</w:t>
      </w:r>
      <w:proofErr w:type="gramEnd"/>
      <w:r w:rsidRPr="00960028">
        <w:rPr>
          <w:rFonts w:asciiTheme="minorBidi" w:hAnsiTheme="minorBidi"/>
          <w:lang w:val="en-ZA"/>
        </w:rPr>
        <w:t xml:space="preserve">’ (2015) 3 </w:t>
      </w:r>
      <w:r w:rsidRPr="00960028">
        <w:rPr>
          <w:rFonts w:asciiTheme="minorBidi" w:hAnsiTheme="minorBidi"/>
          <w:i/>
          <w:iCs/>
          <w:lang w:val="en-ZA"/>
        </w:rPr>
        <w:t xml:space="preserve">Smart Homecare Technology and </w:t>
      </w:r>
      <w:proofErr w:type="spellStart"/>
      <w:r w:rsidRPr="00960028">
        <w:rPr>
          <w:rFonts w:asciiTheme="minorBidi" w:hAnsiTheme="minorBidi"/>
          <w:i/>
          <w:iCs/>
          <w:lang w:val="en-ZA"/>
        </w:rPr>
        <w:t>TeleHealth</w:t>
      </w:r>
      <w:proofErr w:type="spellEnd"/>
      <w:r w:rsidRPr="00960028">
        <w:rPr>
          <w:rFonts w:asciiTheme="minorBidi" w:hAnsiTheme="minorBidi"/>
          <w:lang w:val="en-ZA"/>
        </w:rPr>
        <w:t xml:space="preserve"> 25–37.</w:t>
      </w:r>
    </w:p>
    <w:p w14:paraId="12473D0F" w14:textId="7D7EB16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t xml:space="preserve">South African Health Products Regulatory Authority (SAHPRA) </w:t>
      </w:r>
      <w:r w:rsidRPr="00960028">
        <w:rPr>
          <w:rFonts w:asciiTheme="minorBidi" w:hAnsiTheme="minorBidi"/>
          <w:i/>
          <w:iCs/>
          <w:lang w:val="en-ZA"/>
        </w:rPr>
        <w:t>Annual Performance Plan 2025/26</w:t>
      </w:r>
      <w:r w:rsidRPr="00960028">
        <w:rPr>
          <w:rFonts w:asciiTheme="minorBidi" w:hAnsiTheme="minorBidi"/>
          <w:lang w:val="en-ZA"/>
        </w:rPr>
        <w:t xml:space="preserve"> (April 2025) available at </w:t>
      </w:r>
      <w:r w:rsidRPr="00BC09D4">
        <w:rPr>
          <w:rFonts w:asciiTheme="minorBidi" w:hAnsiTheme="minorBidi"/>
          <w:i/>
          <w:iCs/>
          <w:lang w:val="en-ZA"/>
        </w:rPr>
        <w:t>https://www.sahpra.org.za/wp-content/uploads/2025/04/SAHPRA-Annual-Performance-Plan-2025-2026.pdf</w:t>
      </w:r>
      <w:r w:rsidRPr="00960028">
        <w:rPr>
          <w:rFonts w:asciiTheme="minorBidi" w:hAnsiTheme="minorBidi"/>
          <w:lang w:val="en-ZA"/>
        </w:rPr>
        <w:t>, accessed on 15 December 2025.</w:t>
      </w:r>
    </w:p>
    <w:p w14:paraId="51FE1781" w14:textId="77777777" w:rsidR="00960028" w:rsidRPr="00960028" w:rsidRDefault="00960028" w:rsidP="00960028">
      <w:pPr>
        <w:pStyle w:val="ListParagraph"/>
        <w:numPr>
          <w:ilvl w:val="0"/>
          <w:numId w:val="16"/>
        </w:numPr>
        <w:rPr>
          <w:rFonts w:asciiTheme="minorBidi" w:hAnsiTheme="minorBidi"/>
          <w:lang w:val="en-ZA"/>
        </w:rPr>
      </w:pPr>
      <w:r w:rsidRPr="00960028">
        <w:rPr>
          <w:rFonts w:asciiTheme="minorBidi" w:hAnsiTheme="minorBidi"/>
          <w:lang w:val="en-ZA"/>
        </w:rPr>
        <w:lastRenderedPageBreak/>
        <w:t xml:space="preserve">Townsend, BA ‘Software as a medical device: critical rights issues regarding artificial intelligence software-based health technologies in South Africa’ 2020(4) </w:t>
      </w:r>
      <w:r w:rsidRPr="00960028">
        <w:rPr>
          <w:rFonts w:asciiTheme="minorBidi" w:hAnsiTheme="minorBidi"/>
          <w:i/>
          <w:iCs/>
          <w:lang w:val="en-ZA"/>
        </w:rPr>
        <w:t xml:space="preserve">Journal of South African Law / </w:t>
      </w:r>
      <w:proofErr w:type="spellStart"/>
      <w:r w:rsidRPr="00960028">
        <w:rPr>
          <w:rFonts w:asciiTheme="minorBidi" w:hAnsiTheme="minorBidi"/>
          <w:i/>
          <w:iCs/>
          <w:lang w:val="en-ZA"/>
        </w:rPr>
        <w:t>Tydskrif</w:t>
      </w:r>
      <w:proofErr w:type="spellEnd"/>
      <w:r w:rsidRPr="00960028">
        <w:rPr>
          <w:rFonts w:asciiTheme="minorBidi" w:hAnsiTheme="minorBidi"/>
          <w:i/>
          <w:iCs/>
          <w:lang w:val="en-ZA"/>
        </w:rPr>
        <w:t xml:space="preserve"> vir die </w:t>
      </w:r>
      <w:proofErr w:type="spellStart"/>
      <w:r w:rsidRPr="00960028">
        <w:rPr>
          <w:rFonts w:asciiTheme="minorBidi" w:hAnsiTheme="minorBidi"/>
          <w:i/>
          <w:iCs/>
          <w:lang w:val="en-ZA"/>
        </w:rPr>
        <w:t>Suid-Afrikaanse</w:t>
      </w:r>
      <w:proofErr w:type="spellEnd"/>
      <w:r w:rsidRPr="00960028">
        <w:rPr>
          <w:rFonts w:asciiTheme="minorBidi" w:hAnsiTheme="minorBidi"/>
          <w:i/>
          <w:iCs/>
          <w:lang w:val="en-ZA"/>
        </w:rPr>
        <w:t xml:space="preserve"> Reg</w:t>
      </w:r>
      <w:r w:rsidRPr="00960028">
        <w:rPr>
          <w:rFonts w:asciiTheme="minorBidi" w:hAnsiTheme="minorBidi"/>
          <w:lang w:val="en-ZA"/>
        </w:rPr>
        <w:t xml:space="preserve"> 747–762.</w:t>
      </w:r>
    </w:p>
    <w:p w14:paraId="1BD88C67" w14:textId="0EA16303" w:rsidR="00960028" w:rsidRPr="00960028" w:rsidRDefault="00BC09D4" w:rsidP="00960028">
      <w:pPr>
        <w:rPr>
          <w:rFonts w:asciiTheme="minorBidi" w:hAnsiTheme="minorBidi"/>
          <w:b/>
          <w:bCs/>
          <w:lang w:val="en-ZA"/>
        </w:rPr>
      </w:pPr>
      <w:r>
        <w:rPr>
          <w:rFonts w:asciiTheme="minorBidi" w:hAnsiTheme="minorBidi"/>
          <w:b/>
          <w:bCs/>
          <w:lang w:val="en-ZA"/>
        </w:rPr>
        <w:t xml:space="preserve">9.2 </w:t>
      </w:r>
      <w:r w:rsidR="00960028" w:rsidRPr="00960028">
        <w:rPr>
          <w:rFonts w:asciiTheme="minorBidi" w:hAnsiTheme="minorBidi"/>
          <w:b/>
          <w:bCs/>
          <w:lang w:val="en-ZA"/>
        </w:rPr>
        <w:t>Table of statutes</w:t>
      </w:r>
    </w:p>
    <w:p w14:paraId="5D8F0B68" w14:textId="77777777" w:rsidR="00960028" w:rsidRPr="00960028" w:rsidRDefault="00960028" w:rsidP="00960028">
      <w:pPr>
        <w:pStyle w:val="ListParagraph"/>
        <w:numPr>
          <w:ilvl w:val="0"/>
          <w:numId w:val="17"/>
        </w:numPr>
        <w:rPr>
          <w:rFonts w:asciiTheme="minorBidi" w:hAnsiTheme="minorBidi"/>
          <w:lang w:val="en-ZA"/>
        </w:rPr>
      </w:pPr>
      <w:r w:rsidRPr="00960028">
        <w:rPr>
          <w:rFonts w:asciiTheme="minorBidi" w:hAnsiTheme="minorBidi"/>
          <w:lang w:val="en-ZA"/>
        </w:rPr>
        <w:t>Medicines and Related Substances Act 101 of 1965.</w:t>
      </w:r>
    </w:p>
    <w:p w14:paraId="53B57344" w14:textId="77777777" w:rsidR="00960028" w:rsidRPr="00960028" w:rsidRDefault="00960028" w:rsidP="00960028">
      <w:pPr>
        <w:pStyle w:val="ListParagraph"/>
        <w:numPr>
          <w:ilvl w:val="0"/>
          <w:numId w:val="17"/>
        </w:numPr>
        <w:rPr>
          <w:rFonts w:asciiTheme="minorBidi" w:hAnsiTheme="minorBidi"/>
          <w:lang w:val="en-ZA"/>
        </w:rPr>
      </w:pPr>
      <w:r w:rsidRPr="00960028">
        <w:rPr>
          <w:rFonts w:asciiTheme="minorBidi" w:hAnsiTheme="minorBidi"/>
          <w:lang w:val="en-ZA"/>
        </w:rPr>
        <w:t>Regulations Relating to Medical Devices and In Vitro Diagnostic Medical Devices (IVDs) GN R1515 GG 40480 (9 December 2016).</w:t>
      </w:r>
    </w:p>
    <w:p w14:paraId="086B6814" w14:textId="77777777" w:rsidR="00960028" w:rsidRPr="00960028" w:rsidRDefault="00960028" w:rsidP="00086674">
      <w:pPr>
        <w:rPr>
          <w:rFonts w:asciiTheme="minorBidi" w:hAnsiTheme="minorBidi"/>
          <w:lang w:val="en-ZA"/>
        </w:rPr>
      </w:pPr>
    </w:p>
    <w:sectPr w:rsidR="00960028" w:rsidRPr="00960028"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8F7C3" w14:textId="77777777" w:rsidR="00A01585" w:rsidRDefault="00A01585">
      <w:pPr>
        <w:spacing w:after="0" w:line="240" w:lineRule="auto"/>
      </w:pPr>
      <w:r>
        <w:separator/>
      </w:r>
    </w:p>
  </w:endnote>
  <w:endnote w:type="continuationSeparator" w:id="0">
    <w:p w14:paraId="23FDA35F" w14:textId="77777777" w:rsidR="00A01585" w:rsidRDefault="00A01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BF70" w14:textId="77777777" w:rsidR="003A4B04" w:rsidRDefault="003A4B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515007"/>
      <w:docPartObj>
        <w:docPartGallery w:val="Page Numbers (Bottom of Page)"/>
        <w:docPartUnique/>
      </w:docPartObj>
    </w:sdtPr>
    <w:sdtEndPr>
      <w:rPr>
        <w:noProof/>
      </w:rPr>
    </w:sdtEndPr>
    <w:sdtContent>
      <w:p w14:paraId="7463917A" w14:textId="6C16458B" w:rsidR="00D751B8" w:rsidRDefault="00D751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911383" w14:textId="77777777" w:rsidR="003A4B04" w:rsidRDefault="003A4B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0885A" w14:textId="77777777" w:rsidR="003A4B04" w:rsidRDefault="003A4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7F2E8" w14:textId="77777777" w:rsidR="00A01585" w:rsidRDefault="00A01585">
      <w:pPr>
        <w:spacing w:after="0" w:line="240" w:lineRule="auto"/>
      </w:pPr>
      <w:r>
        <w:separator/>
      </w:r>
    </w:p>
  </w:footnote>
  <w:footnote w:type="continuationSeparator" w:id="0">
    <w:p w14:paraId="258CB790" w14:textId="77777777" w:rsidR="00A01585" w:rsidRDefault="00A01585">
      <w:pPr>
        <w:spacing w:after="0" w:line="240" w:lineRule="auto"/>
      </w:pPr>
      <w:r>
        <w:continuationSeparator/>
      </w:r>
    </w:p>
  </w:footnote>
  <w:footnote w:id="1">
    <w:p w14:paraId="2ADC304C" w14:textId="77777777" w:rsidR="00667ED0" w:rsidRDefault="00E5096A" w:rsidP="00667ED0">
      <w:pPr>
        <w:spacing w:after="160" w:line="278" w:lineRule="auto"/>
      </w:pPr>
      <w:r>
        <w:rPr>
          <w:rStyle w:val="FootnoteReference"/>
        </w:rPr>
        <w:footnoteRef/>
      </w:r>
      <w:r>
        <w:t xml:space="preserve"> </w:t>
      </w:r>
      <w:r w:rsidR="00667ED0" w:rsidRPr="00E063F4">
        <w:t>This phrasing draws on the concept of "regulatory stewardship" as defined in emerging health law literature (e.g., Laurie et al., 2018), distinguishing it from static gatekeeping</w:t>
      </w:r>
      <w:r w:rsidR="00667ED0">
        <w:t>.</w:t>
      </w:r>
    </w:p>
    <w:p w14:paraId="5C358AE8" w14:textId="77777777" w:rsidR="00667ED0" w:rsidRPr="005F30EA" w:rsidRDefault="00667ED0" w:rsidP="00667ED0">
      <w:pPr>
        <w:spacing w:after="160" w:line="278" w:lineRule="auto"/>
      </w:pPr>
      <w:r w:rsidRPr="005F30EA">
        <w:t xml:space="preserve">The failure of the "test-once" </w:t>
      </w:r>
      <w:r>
        <w:t xml:space="preserve">approval </w:t>
      </w:r>
      <w:r w:rsidRPr="005F30EA">
        <w:t xml:space="preserve">paradigm for adaptive technologies can be </w:t>
      </w:r>
      <w:r>
        <w:t xml:space="preserve">better </w:t>
      </w:r>
      <w:r w:rsidRPr="005F30EA">
        <w:t xml:space="preserve">explained </w:t>
      </w:r>
      <w:r>
        <w:t>by a term borrowed from other academic disciplines.</w:t>
      </w:r>
      <w:r>
        <w:rPr>
          <w:b/>
          <w:bCs/>
        </w:rPr>
        <w:t xml:space="preserve"> </w:t>
      </w:r>
      <w:r w:rsidRPr="005F30EA">
        <w:t xml:space="preserve"> In statistics and thermodynamics, a system is "ergodic" if its "ensemble average" (data collected from a group at one point in time) is identical to its "time average" (data collected from a single entity over a long period).</w:t>
      </w:r>
    </w:p>
    <w:p w14:paraId="0D1EC212" w14:textId="77777777" w:rsidR="00667ED0" w:rsidRPr="005F30EA" w:rsidRDefault="00667ED0" w:rsidP="00667ED0">
      <w:pPr>
        <w:spacing w:after="160" w:line="278" w:lineRule="auto"/>
      </w:pPr>
      <w:r w:rsidRPr="005F30EA">
        <w:t xml:space="preserve">Traditional health regulation relies on the ergodic assumption: regulators assume that the safety profile observed in a clinical trial (the ensemble) will accurately predict the </w:t>
      </w:r>
      <w:r>
        <w:t>investigated intervention’s</w:t>
      </w:r>
      <w:r w:rsidRPr="005F30EA">
        <w:t xml:space="preserve"> </w:t>
      </w:r>
      <w:proofErr w:type="spellStart"/>
      <w:r w:rsidRPr="005F30EA">
        <w:t>behavio</w:t>
      </w:r>
      <w:r>
        <w:t>u</w:t>
      </w:r>
      <w:r w:rsidRPr="005F30EA">
        <w:t>r</w:t>
      </w:r>
      <w:proofErr w:type="spellEnd"/>
      <w:r w:rsidRPr="005F30EA">
        <w:t xml:space="preserve"> over its entire lifespan (the time average). This assumption </w:t>
      </w:r>
      <w:r>
        <w:t>might have been adequate</w:t>
      </w:r>
      <w:r w:rsidRPr="005F30EA">
        <w:t xml:space="preserve"> for static interventions like pharmaceuticals or hardware, where </w:t>
      </w:r>
      <w:r>
        <w:t>the nature of</w:t>
      </w:r>
      <w:r w:rsidRPr="005F30EA">
        <w:t xml:space="preserve"> the product do</w:t>
      </w:r>
      <w:r>
        <w:t>es</w:t>
      </w:r>
      <w:r w:rsidRPr="005F30EA">
        <w:t xml:space="preserve"> not change post</w:t>
      </w:r>
      <w:r>
        <w:t xml:space="preserve"> the approval process.  </w:t>
      </w:r>
    </w:p>
    <w:p w14:paraId="7007F392" w14:textId="198CC33D" w:rsidR="00667ED0" w:rsidRPr="005F30EA" w:rsidRDefault="00667ED0" w:rsidP="00667ED0">
      <w:pPr>
        <w:spacing w:after="160" w:line="278" w:lineRule="auto"/>
      </w:pPr>
      <w:r w:rsidRPr="005F30EA">
        <w:t>However, adaptive AI and novel biological interventions (like CRISPR) are non-</w:t>
      </w:r>
      <w:r w:rsidR="00960028" w:rsidRPr="005F30EA">
        <w:t>ergodic</w:t>
      </w:r>
      <w:r w:rsidR="00960028">
        <w:t xml:space="preserve">, </w:t>
      </w:r>
      <w:r w:rsidR="00960028" w:rsidRPr="005F30EA">
        <w:t>their</w:t>
      </w:r>
      <w:r>
        <w:t xml:space="preserve"> outcomes</w:t>
      </w:r>
      <w:r w:rsidRPr="005F30EA">
        <w:t xml:space="preserve"> are </w:t>
      </w:r>
      <w:r>
        <w:t>lifecycle dependent</w:t>
      </w:r>
      <w:r w:rsidRPr="005F30EA">
        <w:t xml:space="preserve"> and </w:t>
      </w:r>
      <w:r>
        <w:t xml:space="preserve">can </w:t>
      </w:r>
      <w:r w:rsidRPr="005F30EA">
        <w:t>evolve in response to their environment</w:t>
      </w:r>
      <w:r>
        <w:t>, albeit in very different ways</w:t>
      </w:r>
      <w:r w:rsidRPr="005F30EA">
        <w:t>. Because the</w:t>
      </w:r>
      <w:r>
        <w:t>se</w:t>
      </w:r>
      <w:r w:rsidRPr="005F30EA">
        <w:t xml:space="preserve"> </w:t>
      </w:r>
      <w:r>
        <w:t>interventions can evolve over time</w:t>
      </w:r>
      <w:r w:rsidRPr="005F30EA">
        <w:t xml:space="preserve"> (e.g., via model drift), the "ensemble average" of the pre-</w:t>
      </w:r>
      <w:r>
        <w:t>approval trial</w:t>
      </w:r>
      <w:r w:rsidRPr="005F30EA">
        <w:t xml:space="preserve"> loses its predictive power. </w:t>
      </w:r>
      <w:r>
        <w:t xml:space="preserve">Therefore, future/ongoing </w:t>
      </w:r>
      <w:r w:rsidRPr="005F30EA">
        <w:t xml:space="preserve">safety can no longer be </w:t>
      </w:r>
      <w:r>
        <w:t>proven once</w:t>
      </w:r>
      <w:r w:rsidR="00960028">
        <w:t>;</w:t>
      </w:r>
      <w:r>
        <w:t xml:space="preserve"> </w:t>
      </w:r>
      <w:r w:rsidRPr="005F30EA">
        <w:t xml:space="preserve">it must be continuously validated as "safety hours" accumulate in </w:t>
      </w:r>
      <w:r>
        <w:t xml:space="preserve">the real world of clinical application.  This </w:t>
      </w:r>
      <w:r w:rsidR="00554ED9">
        <w:t xml:space="preserve">reality </w:t>
      </w:r>
      <w:r w:rsidRPr="005F30EA">
        <w:t>places immense stress on regulatory systems designed for static gatekeeping rather than dynamic stewardship.</w:t>
      </w:r>
    </w:p>
    <w:p w14:paraId="72BB0F10" w14:textId="7C18095E" w:rsidR="00E5096A" w:rsidRPr="00E5096A" w:rsidRDefault="00E5096A">
      <w:pPr>
        <w:pStyle w:val="FootnoteText"/>
      </w:pPr>
    </w:p>
  </w:footnote>
  <w:footnote w:id="2">
    <w:p w14:paraId="3E17AB81" w14:textId="29A85A25" w:rsidR="005664A3" w:rsidRPr="005664A3" w:rsidRDefault="005664A3" w:rsidP="005664A3">
      <w:pPr>
        <w:pStyle w:val="FootnoteText"/>
      </w:pPr>
      <w:r>
        <w:rPr>
          <w:rStyle w:val="FootnoteReference"/>
        </w:rPr>
        <w:footnoteRef/>
      </w:r>
      <w:r>
        <w:t xml:space="preserve"> </w:t>
      </w:r>
      <w:r w:rsidRPr="005664A3">
        <w:rPr>
          <w:b/>
          <w:bCs/>
        </w:rPr>
        <w:t>Medical device regulation in South Africa: The medicines and related substances amendment act 14 of 2015</w:t>
      </w:r>
      <w:r w:rsidRPr="005664A3">
        <w:t>Saidi T, Douglas T</w:t>
      </w:r>
      <w:r>
        <w:t xml:space="preserve"> </w:t>
      </w:r>
      <w:r w:rsidRPr="005664A3">
        <w:rPr>
          <w:i/>
          <w:iCs/>
        </w:rPr>
        <w:t>South African Medical Journal (2018) 108(3) 168-170</w:t>
      </w:r>
    </w:p>
  </w:footnote>
  <w:footnote w:id="3">
    <w:p w14:paraId="68A86433" w14:textId="4FAB4538" w:rsidR="005664A3" w:rsidRPr="005664A3" w:rsidRDefault="005664A3" w:rsidP="005664A3">
      <w:pPr>
        <w:pStyle w:val="FootnoteText"/>
        <w:rPr>
          <w:lang w:val="en-ZA"/>
        </w:rPr>
      </w:pPr>
      <w:r>
        <w:rPr>
          <w:rStyle w:val="FootnoteReference"/>
        </w:rPr>
        <w:footnoteRef/>
      </w:r>
      <w:r>
        <w:t xml:space="preserve"> </w:t>
      </w:r>
      <w:r w:rsidRPr="005664A3">
        <w:rPr>
          <w:b/>
          <w:bCs/>
          <w:lang w:val="en-ZA"/>
        </w:rPr>
        <w:t>The South African Regulatory System: Past, Present, and Future</w:t>
      </w:r>
      <w:r>
        <w:rPr>
          <w:b/>
          <w:bCs/>
          <w:lang w:val="en-ZA"/>
        </w:rPr>
        <w:t xml:space="preserve"> </w:t>
      </w:r>
      <w:r w:rsidRPr="005664A3">
        <w:rPr>
          <w:lang w:val="en-ZA"/>
        </w:rPr>
        <w:t>Keyter A, Banoo S, </w:t>
      </w:r>
    </w:p>
    <w:p w14:paraId="1F18D79D" w14:textId="77777777" w:rsidR="005664A3" w:rsidRPr="005664A3" w:rsidRDefault="005664A3" w:rsidP="005664A3">
      <w:pPr>
        <w:pStyle w:val="FootnoteText"/>
        <w:rPr>
          <w:lang w:val="en-ZA"/>
        </w:rPr>
      </w:pPr>
      <w:r w:rsidRPr="005664A3">
        <w:rPr>
          <w:lang w:val="en-ZA"/>
        </w:rPr>
        <w:t>[…]</w:t>
      </w:r>
    </w:p>
    <w:p w14:paraId="0F54CF36" w14:textId="0D5E120C" w:rsidR="005664A3" w:rsidRPr="005664A3" w:rsidRDefault="005664A3" w:rsidP="00034FAB">
      <w:pPr>
        <w:pStyle w:val="FootnoteText"/>
      </w:pPr>
      <w:r w:rsidRPr="005664A3">
        <w:rPr>
          <w:lang w:val="en-ZA"/>
        </w:rPr>
        <w:t> Walker S</w:t>
      </w:r>
      <w:r w:rsidRPr="005664A3">
        <w:rPr>
          <w:i/>
          <w:iCs/>
          <w:lang w:val="en-ZA"/>
        </w:rPr>
        <w:t>Frontiers in Pharmacology (2018) 9</w:t>
      </w:r>
    </w:p>
  </w:footnote>
  <w:footnote w:id="4">
    <w:p w14:paraId="40A43C25" w14:textId="6369576A" w:rsidR="00034FAB" w:rsidRPr="00034FAB" w:rsidRDefault="00034FAB" w:rsidP="00034FAB">
      <w:pPr>
        <w:pStyle w:val="FootnoteText"/>
      </w:pPr>
      <w:r>
        <w:rPr>
          <w:rStyle w:val="FootnoteReference"/>
        </w:rPr>
        <w:footnoteRef/>
      </w:r>
      <w:r>
        <w:t xml:space="preserve"> </w:t>
      </w:r>
      <w:r w:rsidRPr="00034FAB">
        <w:rPr>
          <w:b/>
          <w:bCs/>
        </w:rPr>
        <w:t>First Do No Harm: Legal Principles Regulating the Future of Artificial Intelligence in Health Care in South Africa</w:t>
      </w:r>
      <w:r w:rsidRPr="00034FAB">
        <w:t>Donnelly D</w:t>
      </w:r>
      <w:r w:rsidRPr="00034FAB">
        <w:rPr>
          <w:i/>
          <w:iCs/>
        </w:rPr>
        <w:t>Potchefstroom Electronic Law Journal (2022) 25 1-43</w:t>
      </w:r>
    </w:p>
  </w:footnote>
  <w:footnote w:id="5">
    <w:p w14:paraId="0713ED37" w14:textId="77777777" w:rsidR="00C546EF" w:rsidRPr="00C546EF" w:rsidRDefault="00C546EF" w:rsidP="00C546EF">
      <w:pPr>
        <w:pStyle w:val="FootnoteText"/>
        <w:rPr>
          <w:lang w:val="en-ZA"/>
        </w:rPr>
      </w:pPr>
      <w:r>
        <w:rPr>
          <w:rStyle w:val="FootnoteReference"/>
        </w:rPr>
        <w:footnoteRef/>
      </w:r>
      <w:r>
        <w:t xml:space="preserve"> </w:t>
      </w:r>
      <w:r w:rsidRPr="00C546EF">
        <w:rPr>
          <w:b/>
          <w:bCs/>
          <w:lang w:val="en-ZA"/>
        </w:rPr>
        <w:t>Medical device regulation and oversight in African countries: A scoping review of literature and development of a conceptual framework</w:t>
      </w:r>
      <w:r w:rsidRPr="00C546EF">
        <w:rPr>
          <w:lang w:val="en-ZA"/>
        </w:rPr>
        <w:t>Nasir N, Molyneux S, </w:t>
      </w:r>
    </w:p>
    <w:p w14:paraId="227FFA59" w14:textId="77777777" w:rsidR="00C546EF" w:rsidRPr="00C546EF" w:rsidRDefault="00C546EF" w:rsidP="00C546EF">
      <w:pPr>
        <w:pStyle w:val="FootnoteText"/>
        <w:rPr>
          <w:lang w:val="en-ZA"/>
        </w:rPr>
      </w:pPr>
      <w:r w:rsidRPr="00C546EF">
        <w:rPr>
          <w:lang w:val="en-ZA"/>
        </w:rPr>
        <w:t>[…]</w:t>
      </w:r>
    </w:p>
    <w:p w14:paraId="22B3F7FC" w14:textId="77777777" w:rsidR="00C546EF" w:rsidRPr="00C546EF" w:rsidRDefault="00C546EF" w:rsidP="00C546EF">
      <w:pPr>
        <w:pStyle w:val="FootnoteText"/>
        <w:rPr>
          <w:lang w:val="en-ZA"/>
        </w:rPr>
      </w:pPr>
      <w:r w:rsidRPr="00C546EF">
        <w:rPr>
          <w:lang w:val="en-ZA"/>
        </w:rPr>
        <w:t> Fuller S</w:t>
      </w:r>
      <w:r w:rsidRPr="00C546EF">
        <w:rPr>
          <w:i/>
          <w:iCs/>
          <w:lang w:val="en-ZA"/>
        </w:rPr>
        <w:t>BMJ Global Health (2023) 8(8)</w:t>
      </w:r>
    </w:p>
    <w:p w14:paraId="26BD0D84" w14:textId="6D3D353E" w:rsidR="00C546EF" w:rsidRPr="00C546EF" w:rsidRDefault="00C546EF">
      <w:pPr>
        <w:pStyle w:val="FootnoteText"/>
      </w:pPr>
    </w:p>
  </w:footnote>
  <w:footnote w:id="6">
    <w:p w14:paraId="0A14FD8C" w14:textId="0E0EDCD7" w:rsidR="0019069A" w:rsidRDefault="0019069A" w:rsidP="0019069A">
      <w:pPr>
        <w:pStyle w:val="FootnoteText"/>
        <w:rPr>
          <w:b/>
          <w:bCs/>
        </w:rPr>
      </w:pPr>
      <w:r>
        <w:rPr>
          <w:rStyle w:val="FootnoteReference"/>
        </w:rPr>
        <w:footnoteRef/>
      </w:r>
      <w:r>
        <w:t xml:space="preserve"> </w:t>
      </w:r>
      <w:r w:rsidRPr="0019069A">
        <w:rPr>
          <w:b/>
          <w:bCs/>
        </w:rPr>
        <w:t>REGULATIONS RELATING TO MEDICAL DEVICES AND IN VITRO DIAGNOSTIC MEDICAL DEVICES (IVDs)</w:t>
      </w:r>
    </w:p>
    <w:p w14:paraId="72C03783" w14:textId="77777777" w:rsidR="0019069A" w:rsidRPr="0019069A" w:rsidRDefault="0019069A" w:rsidP="0019069A">
      <w:pPr>
        <w:pStyle w:val="FootnoteText"/>
      </w:pPr>
    </w:p>
  </w:footnote>
  <w:footnote w:id="7">
    <w:p w14:paraId="59757B35" w14:textId="77777777" w:rsidR="00EE3938" w:rsidRPr="00EE3938" w:rsidRDefault="00EE3938" w:rsidP="00EE3938">
      <w:pPr>
        <w:pStyle w:val="FootnoteText"/>
        <w:rPr>
          <w:lang w:val="en-ZA"/>
        </w:rPr>
      </w:pPr>
      <w:r>
        <w:rPr>
          <w:rStyle w:val="FootnoteReference"/>
        </w:rPr>
        <w:footnoteRef/>
      </w:r>
      <w:r>
        <w:t xml:space="preserve"> </w:t>
      </w:r>
      <w:r w:rsidRPr="00EE3938">
        <w:rPr>
          <w:b/>
          <w:bCs/>
          <w:lang w:val="en-ZA"/>
        </w:rPr>
        <w:t>Software as a medical device : critical rights issues regarding artificial intelligence software-based health technologies in South Africa</w:t>
      </w:r>
      <w:r w:rsidRPr="00EE3938">
        <w:rPr>
          <w:lang w:val="en-ZA"/>
        </w:rPr>
        <w:t>Townsend B</w:t>
      </w:r>
    </w:p>
    <w:p w14:paraId="0B0478E6" w14:textId="77777777" w:rsidR="00EE3938" w:rsidRPr="00EE3938" w:rsidRDefault="00EE3938" w:rsidP="00EE3938">
      <w:pPr>
        <w:pStyle w:val="FootnoteText"/>
        <w:rPr>
          <w:lang w:val="en-ZA"/>
        </w:rPr>
      </w:pPr>
      <w:r w:rsidRPr="00EE3938">
        <w:rPr>
          <w:i/>
          <w:iCs/>
          <w:lang w:val="en-ZA"/>
        </w:rPr>
        <w:t>Journal of South African Law / Tydskrif vir die Suid-Afrikaanse Reg (2020) 2020(4) 74…</w:t>
      </w:r>
    </w:p>
    <w:p w14:paraId="5F7E8AEF" w14:textId="459EBE76" w:rsidR="00EE3938" w:rsidRPr="00EE3938" w:rsidRDefault="00EE3938">
      <w:pPr>
        <w:pStyle w:val="FootnoteText"/>
      </w:pPr>
    </w:p>
  </w:footnote>
  <w:footnote w:id="8">
    <w:p w14:paraId="31972067" w14:textId="57399AC8" w:rsidR="00FA446F" w:rsidRPr="00FA446F" w:rsidRDefault="00FA446F" w:rsidP="00FA446F">
      <w:pPr>
        <w:pStyle w:val="FootnoteText"/>
        <w:rPr>
          <w:lang w:val="en-ZA"/>
        </w:rPr>
      </w:pPr>
      <w:r>
        <w:rPr>
          <w:rStyle w:val="FootnoteReference"/>
        </w:rPr>
        <w:footnoteRef/>
      </w:r>
      <w:r>
        <w:t xml:space="preserve"> </w:t>
      </w:r>
      <w:r w:rsidRPr="00FA446F">
        <w:rPr>
          <w:b/>
          <w:bCs/>
          <w:lang w:val="en-ZA"/>
        </w:rPr>
        <w:t>Medical device regulation and oversight in African countries: A scoping review of literature and development of a conceptual framework</w:t>
      </w:r>
      <w:r w:rsidR="005E4FA9">
        <w:rPr>
          <w:b/>
          <w:bCs/>
          <w:lang w:val="en-ZA"/>
        </w:rPr>
        <w:t xml:space="preserve"> </w:t>
      </w:r>
      <w:r w:rsidRPr="00FA446F">
        <w:rPr>
          <w:lang w:val="en-ZA"/>
        </w:rPr>
        <w:t>Nasir N, Molyneux S, </w:t>
      </w:r>
    </w:p>
    <w:p w14:paraId="0DC2E43D" w14:textId="77777777" w:rsidR="00FA446F" w:rsidRPr="00FA446F" w:rsidRDefault="00FA446F" w:rsidP="00FA446F">
      <w:pPr>
        <w:pStyle w:val="FootnoteText"/>
        <w:rPr>
          <w:lang w:val="en-ZA"/>
        </w:rPr>
      </w:pPr>
      <w:r w:rsidRPr="00FA446F">
        <w:rPr>
          <w:lang w:val="en-ZA"/>
        </w:rPr>
        <w:t>[…]</w:t>
      </w:r>
    </w:p>
    <w:p w14:paraId="08BAC351" w14:textId="77777777" w:rsidR="00FA446F" w:rsidRPr="00FA446F" w:rsidRDefault="00FA446F" w:rsidP="00FA446F">
      <w:pPr>
        <w:pStyle w:val="FootnoteText"/>
        <w:rPr>
          <w:lang w:val="en-ZA"/>
        </w:rPr>
      </w:pPr>
      <w:r w:rsidRPr="00FA446F">
        <w:rPr>
          <w:lang w:val="en-ZA"/>
        </w:rPr>
        <w:t> Fuller S</w:t>
      </w:r>
      <w:r w:rsidRPr="00FA446F">
        <w:rPr>
          <w:i/>
          <w:iCs/>
          <w:lang w:val="en-ZA"/>
        </w:rPr>
        <w:t>BMJ Global Health (2023) 8(8)</w:t>
      </w:r>
    </w:p>
    <w:p w14:paraId="1D5F5371" w14:textId="7FE3B504" w:rsidR="00FA446F" w:rsidRPr="00FA446F" w:rsidRDefault="00FA446F">
      <w:pPr>
        <w:pStyle w:val="FootnoteText"/>
      </w:pPr>
    </w:p>
  </w:footnote>
  <w:footnote w:id="9">
    <w:p w14:paraId="0582831E" w14:textId="4E47888E" w:rsidR="00EE3938" w:rsidRPr="00EE3938" w:rsidRDefault="00EE3938" w:rsidP="00EE3938">
      <w:pPr>
        <w:pStyle w:val="FootnoteText"/>
        <w:rPr>
          <w:lang w:val="en-ZA"/>
        </w:rPr>
      </w:pPr>
      <w:r>
        <w:rPr>
          <w:rStyle w:val="FootnoteReference"/>
        </w:rPr>
        <w:footnoteRef/>
      </w:r>
      <w:r>
        <w:t xml:space="preserve"> </w:t>
      </w:r>
      <w:r w:rsidRPr="00EE3938">
        <w:rPr>
          <w:b/>
          <w:bCs/>
          <w:lang w:val="en-ZA"/>
        </w:rPr>
        <w:t>Artificial intelligence in healthcare: Proposals for policy development in South Africa</w:t>
      </w:r>
      <w:r w:rsidR="00F26E24">
        <w:rPr>
          <w:b/>
          <w:bCs/>
          <w:lang w:val="en-ZA"/>
        </w:rPr>
        <w:t xml:space="preserve"> </w:t>
      </w:r>
      <w:r w:rsidRPr="00EE3938">
        <w:rPr>
          <w:lang w:val="en-ZA"/>
        </w:rPr>
        <w:t>Naidoo S, Bottomley D, </w:t>
      </w:r>
    </w:p>
    <w:p w14:paraId="4CDAC603" w14:textId="429D0C0F" w:rsidR="00EE3938" w:rsidRPr="00EE3938" w:rsidRDefault="00EE3938" w:rsidP="00EE3938">
      <w:pPr>
        <w:pStyle w:val="FootnoteText"/>
        <w:rPr>
          <w:lang w:val="en-ZA"/>
        </w:rPr>
      </w:pPr>
      <w:r w:rsidRPr="00EE3938">
        <w:rPr>
          <w:lang w:val="en-ZA"/>
        </w:rPr>
        <w:t>[…]</w:t>
      </w:r>
    </w:p>
  </w:footnote>
  <w:footnote w:id="10">
    <w:p w14:paraId="39DDFB84" w14:textId="294E9989" w:rsidR="00EE3938" w:rsidRPr="00EE3938" w:rsidRDefault="00EE3938" w:rsidP="00EE3938">
      <w:pPr>
        <w:pStyle w:val="FootnoteText"/>
        <w:rPr>
          <w:lang w:val="en-ZA"/>
        </w:rPr>
      </w:pPr>
      <w:r>
        <w:rPr>
          <w:rStyle w:val="FootnoteReference"/>
        </w:rPr>
        <w:footnoteRef/>
      </w:r>
      <w:r>
        <w:t xml:space="preserve"> </w:t>
      </w:r>
      <w:r w:rsidRPr="00EE3938">
        <w:rPr>
          <w:b/>
          <w:bCs/>
          <w:lang w:val="en-ZA"/>
        </w:rPr>
        <w:t>Artificial intelligence in healthcare: Proposals for policy development in South Africa</w:t>
      </w:r>
      <w:r w:rsidR="00F26E24">
        <w:rPr>
          <w:b/>
          <w:bCs/>
          <w:lang w:val="en-ZA"/>
        </w:rPr>
        <w:t xml:space="preserve"> </w:t>
      </w:r>
      <w:r w:rsidRPr="00EE3938">
        <w:rPr>
          <w:lang w:val="en-ZA"/>
        </w:rPr>
        <w:t>Naidoo S, Bottomley D, </w:t>
      </w:r>
    </w:p>
    <w:p w14:paraId="1406DAD6" w14:textId="77777777" w:rsidR="00EE3938" w:rsidRPr="00EE3938" w:rsidRDefault="00EE3938" w:rsidP="00EE3938">
      <w:pPr>
        <w:pStyle w:val="FootnoteText"/>
        <w:rPr>
          <w:lang w:val="en-ZA"/>
        </w:rPr>
      </w:pPr>
      <w:r w:rsidRPr="00EE3938">
        <w:rPr>
          <w:lang w:val="en-ZA"/>
        </w:rPr>
        <w:t>[…]</w:t>
      </w:r>
    </w:p>
    <w:p w14:paraId="729CAA9A" w14:textId="459D4FE5" w:rsidR="00EE3938" w:rsidRPr="00EE3938" w:rsidRDefault="00EE3938" w:rsidP="00EE3938">
      <w:pPr>
        <w:pStyle w:val="FootnoteText"/>
      </w:pPr>
      <w:r w:rsidRPr="00EE3938">
        <w:rPr>
          <w:lang w:val="en-ZA"/>
        </w:rPr>
        <w:t> </w:t>
      </w:r>
    </w:p>
  </w:footnote>
  <w:footnote w:id="11">
    <w:p w14:paraId="1915F0C2" w14:textId="36748115" w:rsidR="00EE3938" w:rsidRDefault="00EE3938" w:rsidP="00EE3938">
      <w:pPr>
        <w:pStyle w:val="FootnoteText"/>
        <w:rPr>
          <w:i/>
          <w:iCs/>
        </w:rPr>
      </w:pPr>
      <w:r>
        <w:rPr>
          <w:rStyle w:val="FootnoteReference"/>
        </w:rPr>
        <w:footnoteRef/>
      </w:r>
      <w:r>
        <w:t xml:space="preserve"> </w:t>
      </w:r>
      <w:r w:rsidRPr="00EE3938">
        <w:rPr>
          <w:b/>
          <w:bCs/>
        </w:rPr>
        <w:t>First Do No Harm: Legal Principles Regulating the Future of Artificial Intelligence in Health Care in South Africa</w:t>
      </w:r>
      <w:r>
        <w:rPr>
          <w:b/>
          <w:bCs/>
        </w:rPr>
        <w:t xml:space="preserve"> </w:t>
      </w:r>
      <w:r w:rsidRPr="00EE3938">
        <w:t>Donnelly D</w:t>
      </w:r>
      <w:r>
        <w:t xml:space="preserve"> </w:t>
      </w:r>
      <w:r w:rsidRPr="00EE3938">
        <w:rPr>
          <w:i/>
          <w:iCs/>
        </w:rPr>
        <w:t>Potchefstroom Electronic Law Journal (2022) 25 1-43</w:t>
      </w:r>
    </w:p>
    <w:p w14:paraId="76AEE356" w14:textId="77777777" w:rsidR="005E4FA9" w:rsidRPr="00EE3938" w:rsidRDefault="005E4FA9" w:rsidP="00EE3938">
      <w:pPr>
        <w:pStyle w:val="FootnoteText"/>
        <w:rPr>
          <w:lang w:val="en-ZA"/>
        </w:rPr>
      </w:pPr>
    </w:p>
  </w:footnote>
  <w:footnote w:id="12">
    <w:p w14:paraId="549FF9E3" w14:textId="77777777" w:rsidR="005E4FA9" w:rsidRPr="005E4FA9" w:rsidRDefault="00B228A3" w:rsidP="005E4FA9">
      <w:pPr>
        <w:pStyle w:val="FootnoteText"/>
        <w:rPr>
          <w:lang w:val="en-ZA"/>
        </w:rPr>
      </w:pPr>
      <w:r>
        <w:rPr>
          <w:rStyle w:val="FootnoteReference"/>
        </w:rPr>
        <w:footnoteRef/>
      </w:r>
      <w:r>
        <w:t xml:space="preserve"> </w:t>
      </w:r>
      <w:r w:rsidR="005E4FA9" w:rsidRPr="005E4FA9">
        <w:rPr>
          <w:b/>
          <w:bCs/>
          <w:lang w:val="en-ZA"/>
        </w:rPr>
        <w:t>Ethical and regulatory challenges in machine learning-based healthcare systems: A review of implementation barriers and future directions</w:t>
      </w:r>
      <w:r w:rsidR="005E4FA9" w:rsidRPr="005E4FA9">
        <w:rPr>
          <w:lang w:val="en-ZA"/>
        </w:rPr>
        <w:t>Mohammed S, Malhotra N</w:t>
      </w:r>
      <w:r w:rsidR="005E4FA9" w:rsidRPr="005E4FA9">
        <w:rPr>
          <w:i/>
          <w:iCs/>
          <w:lang w:val="en-ZA"/>
        </w:rPr>
        <w:t>BenchCouncil Transactions on Benchmarks, Standards and Evaluations</w:t>
      </w:r>
    </w:p>
    <w:p w14:paraId="04921A02" w14:textId="18426058" w:rsidR="00B228A3" w:rsidRPr="005E4FA9" w:rsidRDefault="00B228A3">
      <w:pPr>
        <w:pStyle w:val="FootnoteText"/>
        <w:rPr>
          <w:lang w:val="en-ZA"/>
        </w:rPr>
      </w:pPr>
    </w:p>
  </w:footnote>
  <w:footnote w:id="13">
    <w:p w14:paraId="2F7450D1" w14:textId="7048FF7D" w:rsidR="00F26E24" w:rsidRPr="00F26E24" w:rsidRDefault="00F26E24" w:rsidP="00F26E24">
      <w:pPr>
        <w:pStyle w:val="FootnoteText"/>
        <w:rPr>
          <w:lang w:val="en-ZA"/>
        </w:rPr>
      </w:pPr>
      <w:r>
        <w:rPr>
          <w:rStyle w:val="FootnoteReference"/>
        </w:rPr>
        <w:footnoteRef/>
      </w:r>
      <w:r>
        <w:t xml:space="preserve"> </w:t>
      </w:r>
      <w:r w:rsidRPr="00F26E24">
        <w:rPr>
          <w:b/>
          <w:bCs/>
        </w:rPr>
        <w:t>Overview of AI regulation in healthcare: A comparative study of the EU and South Africa</w:t>
      </w:r>
      <w:r w:rsidR="00FA446F">
        <w:rPr>
          <w:b/>
          <w:bCs/>
        </w:rPr>
        <w:t xml:space="preserve"> </w:t>
      </w:r>
      <w:r w:rsidRPr="00F26E24">
        <w:t>Naidoo T</w:t>
      </w:r>
      <w:r w:rsidR="00FA446F">
        <w:t xml:space="preserve"> </w:t>
      </w:r>
      <w:r w:rsidRPr="00F26E24">
        <w:rPr>
          <w:i/>
          <w:iCs/>
        </w:rPr>
        <w:t>South African Journal of Bioethics and Law</w:t>
      </w:r>
    </w:p>
  </w:footnote>
  <w:footnote w:id="14">
    <w:p w14:paraId="4E4E1501" w14:textId="7E8F6E96" w:rsidR="002F6C7E" w:rsidRPr="002F6C7E" w:rsidRDefault="002F6C7E" w:rsidP="002F6C7E">
      <w:pPr>
        <w:pStyle w:val="FootnoteText"/>
        <w:rPr>
          <w:lang w:val="en-ZA"/>
        </w:rPr>
      </w:pPr>
      <w:r>
        <w:rPr>
          <w:rStyle w:val="FootnoteReference"/>
        </w:rPr>
        <w:footnoteRef/>
      </w:r>
      <w:r>
        <w:t xml:space="preserve"> </w:t>
      </w:r>
      <w:r w:rsidRPr="002F6C7E">
        <w:rPr>
          <w:b/>
          <w:bCs/>
          <w:lang w:val="en-ZA"/>
        </w:rPr>
        <w:t>Software as a medical device : critical rights issues regarding artificial intelligence software-based health technologies in South Africa</w:t>
      </w:r>
      <w:r w:rsidR="005E4FA9">
        <w:rPr>
          <w:b/>
          <w:bCs/>
          <w:lang w:val="en-ZA"/>
        </w:rPr>
        <w:t xml:space="preserve"> </w:t>
      </w:r>
      <w:r w:rsidRPr="002F6C7E">
        <w:rPr>
          <w:lang w:val="en-ZA"/>
        </w:rPr>
        <w:t>Townsend B</w:t>
      </w:r>
    </w:p>
    <w:p w14:paraId="102F9FFE" w14:textId="2831580F" w:rsidR="002F6C7E" w:rsidRPr="002F6C7E" w:rsidRDefault="002F6C7E" w:rsidP="00E46028">
      <w:pPr>
        <w:pStyle w:val="FootnoteText"/>
        <w:rPr>
          <w:lang w:val="en-ZA"/>
        </w:rPr>
      </w:pPr>
      <w:r w:rsidRPr="002F6C7E">
        <w:rPr>
          <w:i/>
          <w:iCs/>
          <w:lang w:val="en-ZA"/>
        </w:rPr>
        <w:t>Journal of South African Law / Tydskrif vir die Suid-Afrikaanse Reg (2020) 2020(4) 74…</w:t>
      </w:r>
    </w:p>
  </w:footnote>
  <w:footnote w:id="15">
    <w:p w14:paraId="6A8A2289" w14:textId="4A461B3A" w:rsidR="002F6C7E" w:rsidRPr="002F6C7E" w:rsidRDefault="002F6C7E" w:rsidP="002F6C7E">
      <w:pPr>
        <w:pStyle w:val="FootnoteText"/>
        <w:rPr>
          <w:lang w:val="en-ZA"/>
        </w:rPr>
      </w:pPr>
      <w:r>
        <w:rPr>
          <w:rStyle w:val="FootnoteReference"/>
        </w:rPr>
        <w:footnoteRef/>
      </w:r>
      <w:r>
        <w:t xml:space="preserve"> </w:t>
      </w:r>
      <w:r w:rsidRPr="002F6C7E">
        <w:rPr>
          <w:b/>
          <w:bCs/>
          <w:lang w:val="en-ZA"/>
        </w:rPr>
        <w:t>Artificial intelligence in healthcare: Proposals for policy development in South Africa</w:t>
      </w:r>
      <w:r w:rsidR="005E4FA9">
        <w:rPr>
          <w:b/>
          <w:bCs/>
          <w:lang w:val="en-ZA"/>
        </w:rPr>
        <w:t xml:space="preserve"> </w:t>
      </w:r>
      <w:r w:rsidRPr="002F6C7E">
        <w:rPr>
          <w:lang w:val="en-ZA"/>
        </w:rPr>
        <w:t>Naidoo S, Bottomley D, </w:t>
      </w:r>
    </w:p>
    <w:p w14:paraId="47DFCDE5" w14:textId="1B0FFEBC" w:rsidR="002F6C7E" w:rsidRPr="002F6C7E" w:rsidRDefault="002F6C7E" w:rsidP="002F6C7E">
      <w:pPr>
        <w:pStyle w:val="FootnoteText"/>
        <w:rPr>
          <w:lang w:val="en-ZA"/>
        </w:rPr>
      </w:pPr>
      <w:r w:rsidRPr="002F6C7E">
        <w:rPr>
          <w:lang w:val="en-ZA"/>
        </w:rPr>
        <w:t>[…]</w:t>
      </w:r>
    </w:p>
  </w:footnote>
  <w:footnote w:id="16">
    <w:p w14:paraId="4AD7F96E" w14:textId="5F926D9F" w:rsidR="00E46028" w:rsidRPr="00E46028" w:rsidRDefault="00E46028" w:rsidP="00E46028">
      <w:pPr>
        <w:pStyle w:val="FootnoteText"/>
      </w:pPr>
      <w:r>
        <w:rPr>
          <w:rStyle w:val="FootnoteReference"/>
        </w:rPr>
        <w:footnoteRef/>
      </w:r>
      <w:r>
        <w:t xml:space="preserve"> </w:t>
      </w:r>
      <w:r w:rsidRPr="00E46028">
        <w:rPr>
          <w:b/>
          <w:bCs/>
        </w:rPr>
        <w:t>Overview of AI regulation in healthcare: A comparative study of the EU and South Africa</w:t>
      </w:r>
      <w:r w:rsidR="005E4FA9">
        <w:rPr>
          <w:b/>
          <w:bCs/>
        </w:rPr>
        <w:t xml:space="preserve"> </w:t>
      </w:r>
      <w:r w:rsidRPr="00E46028">
        <w:t>Naidoo T</w:t>
      </w:r>
      <w:r w:rsidR="00221699">
        <w:t xml:space="preserve"> </w:t>
      </w:r>
      <w:r w:rsidRPr="00E46028">
        <w:rPr>
          <w:i/>
          <w:iCs/>
        </w:rPr>
        <w:t>South African Journal of Bioethics and Law</w:t>
      </w:r>
    </w:p>
  </w:footnote>
  <w:footnote w:id="17">
    <w:p w14:paraId="3D6E9552" w14:textId="50C2568D" w:rsidR="00E76DED" w:rsidRPr="00E76DED" w:rsidRDefault="00E76DED" w:rsidP="00E76DED">
      <w:pPr>
        <w:pStyle w:val="FootnoteText"/>
      </w:pPr>
      <w:r>
        <w:rPr>
          <w:rStyle w:val="FootnoteReference"/>
        </w:rPr>
        <w:footnoteRef/>
      </w:r>
      <w:r>
        <w:t xml:space="preserve"> </w:t>
      </w:r>
      <w:r w:rsidRPr="00E76DED">
        <w:t xml:space="preserve">Scott RE &amp; Mars M ‘Telehealth in the developing world: </w:t>
      </w:r>
      <w:proofErr w:type="gramStart"/>
      <w:r w:rsidRPr="00E76DED">
        <w:t>current status</w:t>
      </w:r>
      <w:proofErr w:type="gramEnd"/>
      <w:r w:rsidRPr="00E76DED">
        <w:t xml:space="preserve"> and </w:t>
      </w:r>
      <w:proofErr w:type="gramStart"/>
      <w:r w:rsidRPr="00E76DED">
        <w:t>future prospects</w:t>
      </w:r>
      <w:proofErr w:type="gramEnd"/>
      <w:r w:rsidRPr="00E76DED">
        <w:t xml:space="preserve">’ (2015) 3 </w:t>
      </w:r>
      <w:r w:rsidRPr="00E76DED">
        <w:rPr>
          <w:i/>
          <w:iCs/>
        </w:rPr>
        <w:t xml:space="preserve">Smart Homecare Technology and </w:t>
      </w:r>
      <w:proofErr w:type="spellStart"/>
      <w:r w:rsidRPr="00E76DED">
        <w:rPr>
          <w:i/>
          <w:iCs/>
        </w:rPr>
        <w:t>TeleHealth</w:t>
      </w:r>
      <w:proofErr w:type="spellEnd"/>
      <w:r w:rsidRPr="00E76DED">
        <w:t xml:space="preserve"> 25–37.</w:t>
      </w:r>
    </w:p>
  </w:footnote>
  <w:footnote w:id="18">
    <w:p w14:paraId="3B447717" w14:textId="77777777" w:rsidR="0064538B" w:rsidRDefault="0064538B" w:rsidP="0064538B">
      <w:pPr>
        <w:pStyle w:val="FootnoteText"/>
        <w:rPr>
          <w:i/>
          <w:iCs/>
        </w:rPr>
      </w:pPr>
      <w:r>
        <w:rPr>
          <w:rStyle w:val="FootnoteReference"/>
        </w:rPr>
        <w:footnoteRef/>
      </w:r>
      <w:r>
        <w:t xml:space="preserve"> </w:t>
      </w:r>
      <w:r w:rsidRPr="00221699">
        <w:rPr>
          <w:b/>
          <w:bCs/>
        </w:rPr>
        <w:t>The ethics and law of medical AI in South Africa: Balancing innovation with responsibility</w:t>
      </w:r>
      <w:r>
        <w:rPr>
          <w:b/>
          <w:bCs/>
        </w:rPr>
        <w:t xml:space="preserve"> </w:t>
      </w:r>
      <w:r w:rsidRPr="00221699">
        <w:t>Ngcobo M</w:t>
      </w:r>
      <w:r>
        <w:t xml:space="preserve"> </w:t>
      </w:r>
      <w:r w:rsidRPr="00221699">
        <w:rPr>
          <w:i/>
          <w:iCs/>
        </w:rPr>
        <w:t>South African Medical Journal (2025) e3667</w:t>
      </w:r>
    </w:p>
    <w:p w14:paraId="4C997E5A" w14:textId="77777777" w:rsidR="0064538B" w:rsidRPr="00221699" w:rsidRDefault="0064538B" w:rsidP="0064538B">
      <w:pPr>
        <w:pStyle w:val="FootnoteText"/>
      </w:pPr>
    </w:p>
  </w:footnote>
  <w:footnote w:id="19">
    <w:p w14:paraId="37912A19" w14:textId="77777777" w:rsidR="0064538B" w:rsidRPr="00221699" w:rsidRDefault="0064538B" w:rsidP="0064538B">
      <w:pPr>
        <w:pStyle w:val="FootnoteText"/>
        <w:rPr>
          <w:lang w:val="en-ZA"/>
        </w:rPr>
      </w:pPr>
      <w:r>
        <w:rPr>
          <w:rStyle w:val="FootnoteReference"/>
        </w:rPr>
        <w:footnoteRef/>
      </w:r>
      <w:r>
        <w:t xml:space="preserve"> </w:t>
      </w:r>
      <w:r w:rsidRPr="00221699">
        <w:rPr>
          <w:b/>
          <w:bCs/>
        </w:rPr>
        <w:t>Overview of AI regulation in healthcare: A comparative study of the EU and South Africa</w:t>
      </w:r>
      <w:r>
        <w:rPr>
          <w:b/>
          <w:bCs/>
        </w:rPr>
        <w:t xml:space="preserve"> </w:t>
      </w:r>
      <w:r w:rsidRPr="00221699">
        <w:t>Naidoo T</w:t>
      </w:r>
      <w:r>
        <w:t xml:space="preserve"> </w:t>
      </w:r>
      <w:r w:rsidRPr="00221699">
        <w:rPr>
          <w:i/>
          <w:iCs/>
        </w:rPr>
        <w:t>South African Journal of Bioethics and Law</w:t>
      </w:r>
    </w:p>
  </w:footnote>
  <w:footnote w:id="20">
    <w:p w14:paraId="66FB70E0" w14:textId="36B64FC0" w:rsidR="0064538B" w:rsidRPr="00E018A9" w:rsidRDefault="0064538B" w:rsidP="00D00307">
      <w:pPr>
        <w:spacing w:line="240" w:lineRule="auto"/>
      </w:pPr>
      <w:r>
        <w:rPr>
          <w:rStyle w:val="FootnoteReference"/>
        </w:rPr>
        <w:footnoteRef/>
      </w:r>
      <w:r>
        <w:t xml:space="preserve"> </w:t>
      </w:r>
      <w:r w:rsidRPr="00B02591">
        <w:rPr>
          <w:rFonts w:ascii="Cambria" w:hAnsi="Cambria"/>
        </w:rPr>
        <w:t xml:space="preserve">AUDA‑NEPAD </w:t>
      </w:r>
      <w:r w:rsidRPr="00B02591">
        <w:rPr>
          <w:rFonts w:ascii="Cambria" w:hAnsi="Cambria"/>
          <w:b/>
          <w:bCs/>
        </w:rPr>
        <w:t>African Medicines Regulatory Harmonisation (AMRH)</w:t>
      </w:r>
      <w:r w:rsidRPr="00B02591">
        <w:rPr>
          <w:rFonts w:ascii="Cambria" w:hAnsi="Cambria"/>
        </w:rPr>
        <w:t xml:space="preserve">, ‘AMRH Home’ (undated) </w:t>
      </w:r>
      <w:r w:rsidRPr="00D00307">
        <w:rPr>
          <w:rFonts w:ascii="Cambria" w:hAnsi="Cambria"/>
        </w:rPr>
        <w:t>https://amrh.nepad.org/</w:t>
      </w:r>
      <w:r w:rsidRPr="00B02591">
        <w:rPr>
          <w:rFonts w:ascii="Cambria" w:hAnsi="Cambria"/>
        </w:rPr>
        <w:t xml:space="preserve"> accessed 11 August 2025.</w:t>
      </w:r>
    </w:p>
  </w:footnote>
  <w:footnote w:id="21">
    <w:p w14:paraId="57262A46" w14:textId="0E9837AE" w:rsidR="0064538B" w:rsidRPr="00A62483" w:rsidRDefault="0064538B" w:rsidP="0064538B">
      <w:pPr>
        <w:pStyle w:val="FootnoteText"/>
        <w:rPr>
          <w:lang w:val="en-ZA"/>
        </w:rPr>
      </w:pPr>
      <w:r>
        <w:rPr>
          <w:rStyle w:val="FootnoteReference"/>
        </w:rPr>
        <w:footnoteRef/>
      </w:r>
      <w:r>
        <w:t xml:space="preserve"> </w:t>
      </w:r>
      <w:r w:rsidRPr="00A62483">
        <w:rPr>
          <w:rFonts w:ascii="Cambria" w:hAnsi="Cambria"/>
        </w:rPr>
        <w:t xml:space="preserve">AUDA‑NEPAD </w:t>
      </w:r>
      <w:r w:rsidRPr="00A62483">
        <w:rPr>
          <w:rFonts w:ascii="Cambria" w:hAnsi="Cambria"/>
          <w:b/>
          <w:bCs/>
        </w:rPr>
        <w:t>Africa Medical Devices Forum (AMDF) Microsite</w:t>
      </w:r>
      <w:r w:rsidRPr="00A62483">
        <w:rPr>
          <w:rFonts w:ascii="Cambria" w:hAnsi="Cambria"/>
        </w:rPr>
        <w:t xml:space="preserve">, ‘Africa Medical Devices Forum (AMDF)’ (undated) — </w:t>
      </w:r>
      <w:r w:rsidRPr="00A62483">
        <w:rPr>
          <w:rFonts w:ascii="Cambria" w:hAnsi="Cambria"/>
          <w:i/>
          <w:iCs/>
        </w:rPr>
        <w:t>Mission</w:t>
      </w:r>
      <w:r w:rsidRPr="00A62483">
        <w:rPr>
          <w:rFonts w:ascii="Cambria" w:hAnsi="Cambria"/>
        </w:rPr>
        <w:t xml:space="preserve">: “to study and recommend ways to harmonize medical devices and diagnostics regulation in Africa” </w:t>
      </w:r>
      <w:r w:rsidRPr="00D00307">
        <w:rPr>
          <w:rFonts w:ascii="Cambria" w:hAnsi="Cambria"/>
        </w:rPr>
        <w:t>https://www.nepad.org/microsite/africa-medical-devices-forum-amdf</w:t>
      </w:r>
      <w:r w:rsidRPr="00A62483">
        <w:rPr>
          <w:rFonts w:ascii="Cambria" w:hAnsi="Cambria"/>
        </w:rPr>
        <w:t xml:space="preserve"> accessed 11 August 2025</w:t>
      </w:r>
    </w:p>
  </w:footnote>
  <w:footnote w:id="22">
    <w:p w14:paraId="6E30A4A8" w14:textId="77777777" w:rsidR="0064538B" w:rsidRPr="00A62483" w:rsidRDefault="0064538B" w:rsidP="0064538B">
      <w:pPr>
        <w:pStyle w:val="FootnoteText"/>
      </w:pPr>
      <w:r>
        <w:rPr>
          <w:rStyle w:val="FootnoteReference"/>
        </w:rPr>
        <w:footnoteRef/>
      </w:r>
      <w:r>
        <w:t xml:space="preserve"> </w:t>
      </w:r>
      <w:r w:rsidRPr="00A62483">
        <w:rPr>
          <w:rFonts w:ascii="Cambria" w:hAnsi="Cambria"/>
        </w:rPr>
        <w:t xml:space="preserve">AUDA‑NEPAD/AMDF, </w:t>
      </w:r>
      <w:r w:rsidRPr="00A62483">
        <w:rPr>
          <w:rFonts w:ascii="Cambria" w:hAnsi="Cambria"/>
          <w:b/>
          <w:bCs/>
        </w:rPr>
        <w:t>Guidelines on Requirements on Labelling of Medical Devices Including In Vitro Diagnostic Medical Devices</w:t>
      </w:r>
      <w:r w:rsidRPr="00A62483">
        <w:rPr>
          <w:rFonts w:ascii="Cambria" w:hAnsi="Cambria"/>
        </w:rPr>
        <w:t xml:space="preserve"> (2024)</w:t>
      </w:r>
    </w:p>
  </w:footnote>
  <w:footnote w:id="23">
    <w:p w14:paraId="5B29AA14" w14:textId="6405B897" w:rsidR="0064538B" w:rsidRPr="00731C14" w:rsidRDefault="0064538B" w:rsidP="0064538B">
      <w:pPr>
        <w:spacing w:line="240" w:lineRule="auto"/>
      </w:pPr>
      <w:r w:rsidRPr="00731C14">
        <w:rPr>
          <w:rStyle w:val="FootnoteReference"/>
          <w:sz w:val="20"/>
          <w:szCs w:val="20"/>
        </w:rPr>
        <w:footnoteRef/>
      </w:r>
      <w:r w:rsidRPr="00731C14">
        <w:rPr>
          <w:sz w:val="20"/>
          <w:szCs w:val="20"/>
        </w:rPr>
        <w:t xml:space="preserve"> </w:t>
      </w:r>
      <w:r w:rsidRPr="00731C14">
        <w:rPr>
          <w:rFonts w:ascii="Cambria" w:hAnsi="Cambria"/>
          <w:sz w:val="20"/>
          <w:szCs w:val="20"/>
        </w:rPr>
        <w:t xml:space="preserve">AUDA‑NEPAD, </w:t>
      </w:r>
      <w:r w:rsidRPr="00731C14">
        <w:rPr>
          <w:rFonts w:ascii="Cambria" w:hAnsi="Cambria"/>
          <w:b/>
          <w:bCs/>
          <w:sz w:val="20"/>
          <w:szCs w:val="20"/>
        </w:rPr>
        <w:t>News release</w:t>
      </w:r>
      <w:r w:rsidRPr="00731C14">
        <w:rPr>
          <w:rFonts w:ascii="Cambria" w:hAnsi="Cambria"/>
          <w:sz w:val="20"/>
          <w:szCs w:val="20"/>
        </w:rPr>
        <w:t xml:space="preserve">: ‘A Landmark Agreement Among Africa’s Leading National Medicines Regulatory Authorities to Foster Reliance’ (5 February 2025) — purpose “to establish a structured framework for reliance … for medicines, vaccines, and medical devices” </w:t>
      </w:r>
      <w:r w:rsidRPr="00D00307">
        <w:rPr>
          <w:rFonts w:ascii="Cambria" w:hAnsi="Cambria"/>
          <w:sz w:val="20"/>
          <w:szCs w:val="20"/>
        </w:rPr>
        <w:t>https://www.nepad.org/news/landmark-agreement-among-africas-leading-national-medicines-regulatory-authorities</w:t>
      </w:r>
      <w:r w:rsidRPr="00731C14">
        <w:rPr>
          <w:rFonts w:ascii="Cambria" w:hAnsi="Cambria"/>
          <w:sz w:val="20"/>
          <w:szCs w:val="20"/>
        </w:rPr>
        <w:t xml:space="preserve"> accessed 11 August 2025.</w:t>
      </w:r>
    </w:p>
  </w:footnote>
  <w:footnote w:id="24">
    <w:p w14:paraId="686EB494" w14:textId="74A1280D" w:rsidR="0064538B" w:rsidRPr="00731C14" w:rsidRDefault="0064538B" w:rsidP="0064538B">
      <w:pPr>
        <w:spacing w:line="240" w:lineRule="auto"/>
      </w:pPr>
      <w:r w:rsidRPr="00731C14">
        <w:rPr>
          <w:rStyle w:val="FootnoteReference"/>
          <w:sz w:val="20"/>
          <w:szCs w:val="20"/>
        </w:rPr>
        <w:footnoteRef/>
      </w:r>
      <w:r w:rsidRPr="00731C14">
        <w:rPr>
          <w:sz w:val="20"/>
          <w:szCs w:val="20"/>
        </w:rPr>
        <w:t xml:space="preserve"> </w:t>
      </w:r>
      <w:r w:rsidRPr="00731C14">
        <w:rPr>
          <w:rFonts w:ascii="Cambria" w:hAnsi="Cambria"/>
          <w:sz w:val="20"/>
          <w:szCs w:val="20"/>
        </w:rPr>
        <w:t xml:space="preserve">African Union, </w:t>
      </w:r>
      <w:proofErr w:type="gramStart"/>
      <w:r w:rsidRPr="00731C14">
        <w:rPr>
          <w:rFonts w:ascii="Cambria" w:hAnsi="Cambria"/>
          <w:b/>
          <w:bCs/>
          <w:sz w:val="20"/>
          <w:szCs w:val="20"/>
        </w:rPr>
        <w:t>Press</w:t>
      </w:r>
      <w:proofErr w:type="gramEnd"/>
      <w:r w:rsidRPr="00731C14">
        <w:rPr>
          <w:rFonts w:ascii="Cambria" w:hAnsi="Cambria"/>
          <w:b/>
          <w:bCs/>
          <w:sz w:val="20"/>
          <w:szCs w:val="20"/>
        </w:rPr>
        <w:t xml:space="preserve"> release</w:t>
      </w:r>
      <w:r w:rsidRPr="00731C14">
        <w:rPr>
          <w:rFonts w:ascii="Cambria" w:hAnsi="Cambria"/>
          <w:sz w:val="20"/>
          <w:szCs w:val="20"/>
        </w:rPr>
        <w:t xml:space="preserve">: ‘Dr. Delese Mimi Darko Appointed Inaugural Director General of the African Medicines Agency (AMA) (4 June 2025) </w:t>
      </w:r>
      <w:r w:rsidRPr="00D00307">
        <w:rPr>
          <w:rFonts w:ascii="Cambria" w:hAnsi="Cambria"/>
          <w:sz w:val="20"/>
          <w:szCs w:val="20"/>
        </w:rPr>
        <w:t>https://au.int/en/pressreleases/20250604/dr-delese-mimi-darko-appointed-inaugural-director-general-african-medicines</w:t>
      </w:r>
      <w:r w:rsidRPr="00731C14">
        <w:rPr>
          <w:rFonts w:ascii="Cambria" w:hAnsi="Cambria"/>
          <w:sz w:val="20"/>
          <w:szCs w:val="20"/>
        </w:rPr>
        <w:t xml:space="preserve"> accessed 11 August 2025.</w:t>
      </w:r>
    </w:p>
  </w:footnote>
  <w:footnote w:id="25">
    <w:p w14:paraId="7A128082" w14:textId="40E2C71C" w:rsidR="0064538B" w:rsidRPr="00731C14" w:rsidRDefault="0064538B" w:rsidP="0064538B">
      <w:pPr>
        <w:pStyle w:val="FootnoteText"/>
        <w:rPr>
          <w:lang w:val="en-ZA"/>
        </w:rPr>
      </w:pPr>
      <w:r>
        <w:rPr>
          <w:rStyle w:val="FootnoteReference"/>
        </w:rPr>
        <w:footnoteRef/>
      </w:r>
      <w:r>
        <w:t xml:space="preserve"> </w:t>
      </w:r>
      <w:r w:rsidRPr="0064538B">
        <w:rPr>
          <w:rFonts w:ascii="Cambria" w:hAnsi="Cambria"/>
        </w:rPr>
        <w:t xml:space="preserve">SAHPRA, </w:t>
      </w:r>
      <w:r w:rsidRPr="0064538B">
        <w:rPr>
          <w:rFonts w:ascii="Cambria" w:hAnsi="Cambria"/>
          <w:b/>
          <w:bCs/>
        </w:rPr>
        <w:t>Annual Performance Plan 2025/26</w:t>
      </w:r>
      <w:r w:rsidRPr="0064538B">
        <w:rPr>
          <w:rFonts w:ascii="Cambria" w:hAnsi="Cambria"/>
        </w:rPr>
        <w:t xml:space="preserve"> (April 2025) 39–40 — “It must be noted that South Africa has still not ratified the [AMA] treaty. This presents a risk for SAHPRA since it may not have the legal basis to recognise decisions of AMA” </w:t>
      </w:r>
      <w:r w:rsidRPr="00D00307">
        <w:rPr>
          <w:rFonts w:ascii="Cambria" w:hAnsi="Cambria"/>
        </w:rPr>
        <w:t>https://www.sahpra.org.za/wp-content/uploads/2025/04/SAHPRA-Annual-Performance-Plan-2025-2026.pdf</w:t>
      </w:r>
    </w:p>
  </w:footnote>
  <w:footnote w:id="26">
    <w:p w14:paraId="1E16409E" w14:textId="3133078C" w:rsidR="00667ED0" w:rsidRPr="00731C14" w:rsidRDefault="00667ED0" w:rsidP="00667ED0">
      <w:pPr>
        <w:pStyle w:val="FootnoteText"/>
        <w:rPr>
          <w:lang w:val="en-ZA"/>
        </w:rPr>
      </w:pPr>
      <w:r>
        <w:rPr>
          <w:rStyle w:val="FootnoteReference"/>
        </w:rPr>
        <w:footnoteRef/>
      </w:r>
      <w:r>
        <w:t xml:space="preserve"> </w:t>
      </w:r>
      <w:r w:rsidRPr="0064538B">
        <w:rPr>
          <w:rFonts w:ascii="Cambria" w:hAnsi="Cambria"/>
        </w:rPr>
        <w:t xml:space="preserve">SAHPRA, </w:t>
      </w:r>
      <w:r w:rsidRPr="0064538B">
        <w:rPr>
          <w:rFonts w:ascii="Cambria" w:hAnsi="Cambria"/>
          <w:b/>
          <w:bCs/>
        </w:rPr>
        <w:t>Annual Performance Plan 2025/26</w:t>
      </w:r>
      <w:r w:rsidRPr="0064538B">
        <w:rPr>
          <w:rFonts w:ascii="Cambria" w:hAnsi="Cambria"/>
        </w:rPr>
        <w:t xml:space="preserve"> (April 2025) 39–40 — “It must be noted that South Africa has still not ratified the [AMA] treaty. This presents a risk for SAHPRA since it may not have the legal basis to </w:t>
      </w:r>
      <w:proofErr w:type="spellStart"/>
      <w:r w:rsidRPr="0064538B">
        <w:rPr>
          <w:rFonts w:ascii="Cambria" w:hAnsi="Cambria"/>
        </w:rPr>
        <w:t>recognise</w:t>
      </w:r>
      <w:proofErr w:type="spellEnd"/>
      <w:r w:rsidRPr="0064538B">
        <w:rPr>
          <w:rFonts w:ascii="Cambria" w:hAnsi="Cambria"/>
        </w:rPr>
        <w:t xml:space="preserve"> decisions of AMA” </w:t>
      </w:r>
      <w:r w:rsidRPr="00D00307">
        <w:rPr>
          <w:rFonts w:ascii="Cambria" w:hAnsi="Cambria"/>
        </w:rPr>
        <w:t>https://www.sahpra.org.za/wp-content/uploads/2025/04/SAHPRA-Annual-Performance-Plan-2025-2026.pdf</w:t>
      </w:r>
    </w:p>
    <w:p w14:paraId="75BBB7F7" w14:textId="56B9B45B" w:rsidR="00667ED0" w:rsidRPr="00667ED0" w:rsidRDefault="00667ED0">
      <w:pPr>
        <w:pStyle w:val="FootnoteText"/>
        <w:rPr>
          <w:lang w:val="en-Z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6C84" w14:textId="77777777" w:rsidR="003A4B04" w:rsidRDefault="003A4B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F4B56" w14:textId="77777777" w:rsidR="00263C5D" w:rsidRDefault="00263C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3AB3" w14:textId="77777777" w:rsidR="003A4B04" w:rsidRDefault="003A4B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99411"/>
    <w:multiLevelType w:val="multilevel"/>
    <w:tmpl w:val="232EE7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1862222F"/>
    <w:multiLevelType w:val="hybridMultilevel"/>
    <w:tmpl w:val="484845A8"/>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3B70089E"/>
    <w:multiLevelType w:val="hybridMultilevel"/>
    <w:tmpl w:val="67DAB0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4CB90E21"/>
    <w:multiLevelType w:val="hybridMultilevel"/>
    <w:tmpl w:val="7D8E4AB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53E36F71"/>
    <w:multiLevelType w:val="hybridMultilevel"/>
    <w:tmpl w:val="FD16E63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562937BE"/>
    <w:multiLevelType w:val="multilevel"/>
    <w:tmpl w:val="88780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251CFF"/>
    <w:multiLevelType w:val="hybridMultilevel"/>
    <w:tmpl w:val="CC1CC3CA"/>
    <w:lvl w:ilvl="0" w:tplc="1C09000F">
      <w:start w:val="4"/>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674F1488"/>
    <w:multiLevelType w:val="hybridMultilevel"/>
    <w:tmpl w:val="95102BE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69969763">
    <w:abstractNumId w:val="8"/>
  </w:num>
  <w:num w:numId="2" w16cid:durableId="1757365841">
    <w:abstractNumId w:val="6"/>
  </w:num>
  <w:num w:numId="3" w16cid:durableId="1324160389">
    <w:abstractNumId w:val="5"/>
  </w:num>
  <w:num w:numId="4" w16cid:durableId="1070881929">
    <w:abstractNumId w:val="4"/>
  </w:num>
  <w:num w:numId="5" w16cid:durableId="183908412">
    <w:abstractNumId w:val="7"/>
  </w:num>
  <w:num w:numId="6" w16cid:durableId="1940991138">
    <w:abstractNumId w:val="3"/>
  </w:num>
  <w:num w:numId="7" w16cid:durableId="389615297">
    <w:abstractNumId w:val="2"/>
  </w:num>
  <w:num w:numId="8" w16cid:durableId="105084798">
    <w:abstractNumId w:val="1"/>
  </w:num>
  <w:num w:numId="9" w16cid:durableId="832062171">
    <w:abstractNumId w:val="0"/>
  </w:num>
  <w:num w:numId="10" w16cid:durableId="513031166">
    <w:abstractNumId w:val="14"/>
  </w:num>
  <w:num w:numId="11" w16cid:durableId="837503003">
    <w:abstractNumId w:val="15"/>
  </w:num>
  <w:num w:numId="12" w16cid:durableId="10407413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25054728">
    <w:abstractNumId w:val="11"/>
  </w:num>
  <w:num w:numId="14" w16cid:durableId="1071149329">
    <w:abstractNumId w:val="16"/>
  </w:num>
  <w:num w:numId="15" w16cid:durableId="136529295">
    <w:abstractNumId w:val="13"/>
  </w:num>
  <w:num w:numId="16" w16cid:durableId="1849707042">
    <w:abstractNumId w:val="12"/>
  </w:num>
  <w:num w:numId="17" w16cid:durableId="20094808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FB4"/>
    <w:rsid w:val="00021612"/>
    <w:rsid w:val="000240AC"/>
    <w:rsid w:val="000345C0"/>
    <w:rsid w:val="00034616"/>
    <w:rsid w:val="00034FAB"/>
    <w:rsid w:val="00040D5E"/>
    <w:rsid w:val="00050E78"/>
    <w:rsid w:val="000528D0"/>
    <w:rsid w:val="0006063C"/>
    <w:rsid w:val="000678C6"/>
    <w:rsid w:val="00067FCC"/>
    <w:rsid w:val="00084A84"/>
    <w:rsid w:val="00086674"/>
    <w:rsid w:val="000A43B1"/>
    <w:rsid w:val="000C199B"/>
    <w:rsid w:val="000F7F94"/>
    <w:rsid w:val="00141F18"/>
    <w:rsid w:val="0015074B"/>
    <w:rsid w:val="00154814"/>
    <w:rsid w:val="0019069A"/>
    <w:rsid w:val="00190AEB"/>
    <w:rsid w:val="001A4377"/>
    <w:rsid w:val="001B180C"/>
    <w:rsid w:val="001B3E90"/>
    <w:rsid w:val="001B7180"/>
    <w:rsid w:val="001D0E15"/>
    <w:rsid w:val="001E2386"/>
    <w:rsid w:val="00202983"/>
    <w:rsid w:val="00221699"/>
    <w:rsid w:val="00230E3B"/>
    <w:rsid w:val="00235449"/>
    <w:rsid w:val="00263537"/>
    <w:rsid w:val="00263C5D"/>
    <w:rsid w:val="002771D9"/>
    <w:rsid w:val="0029639D"/>
    <w:rsid w:val="002B0EBE"/>
    <w:rsid w:val="002D32E9"/>
    <w:rsid w:val="002E2437"/>
    <w:rsid w:val="002F6C7E"/>
    <w:rsid w:val="003068E4"/>
    <w:rsid w:val="00323A13"/>
    <w:rsid w:val="00326F90"/>
    <w:rsid w:val="0033368F"/>
    <w:rsid w:val="00355D63"/>
    <w:rsid w:val="00373AB1"/>
    <w:rsid w:val="003A4B04"/>
    <w:rsid w:val="003F2A3E"/>
    <w:rsid w:val="003F5A53"/>
    <w:rsid w:val="003F5BDC"/>
    <w:rsid w:val="00405062"/>
    <w:rsid w:val="004125DB"/>
    <w:rsid w:val="004249EF"/>
    <w:rsid w:val="00467C6A"/>
    <w:rsid w:val="004A26B8"/>
    <w:rsid w:val="004C7A3F"/>
    <w:rsid w:val="004E378C"/>
    <w:rsid w:val="00513E80"/>
    <w:rsid w:val="005146BA"/>
    <w:rsid w:val="00517EC4"/>
    <w:rsid w:val="00543502"/>
    <w:rsid w:val="005450AE"/>
    <w:rsid w:val="00554ED9"/>
    <w:rsid w:val="005608CF"/>
    <w:rsid w:val="005664A3"/>
    <w:rsid w:val="00580847"/>
    <w:rsid w:val="005A352F"/>
    <w:rsid w:val="005C07FF"/>
    <w:rsid w:val="005E1A1B"/>
    <w:rsid w:val="005E1D58"/>
    <w:rsid w:val="005E4FA9"/>
    <w:rsid w:val="005F7C30"/>
    <w:rsid w:val="0064538B"/>
    <w:rsid w:val="006509A1"/>
    <w:rsid w:val="0065397A"/>
    <w:rsid w:val="0066402E"/>
    <w:rsid w:val="00667ED0"/>
    <w:rsid w:val="00676AF8"/>
    <w:rsid w:val="006F1F71"/>
    <w:rsid w:val="00702A66"/>
    <w:rsid w:val="00712845"/>
    <w:rsid w:val="0071364F"/>
    <w:rsid w:val="00714A8B"/>
    <w:rsid w:val="00722BE5"/>
    <w:rsid w:val="00731C14"/>
    <w:rsid w:val="00744DA5"/>
    <w:rsid w:val="00745843"/>
    <w:rsid w:val="007A4461"/>
    <w:rsid w:val="008521B8"/>
    <w:rsid w:val="00855780"/>
    <w:rsid w:val="008A2DE6"/>
    <w:rsid w:val="008A3A59"/>
    <w:rsid w:val="008A4FF1"/>
    <w:rsid w:val="008A788C"/>
    <w:rsid w:val="008B38B3"/>
    <w:rsid w:val="008D2274"/>
    <w:rsid w:val="008E53FB"/>
    <w:rsid w:val="0090002C"/>
    <w:rsid w:val="00902BC9"/>
    <w:rsid w:val="00915A99"/>
    <w:rsid w:val="00927041"/>
    <w:rsid w:val="00960028"/>
    <w:rsid w:val="00994018"/>
    <w:rsid w:val="009A12FB"/>
    <w:rsid w:val="009B5E7E"/>
    <w:rsid w:val="009F60DB"/>
    <w:rsid w:val="00A01585"/>
    <w:rsid w:val="00A51106"/>
    <w:rsid w:val="00A53928"/>
    <w:rsid w:val="00A62483"/>
    <w:rsid w:val="00A7516E"/>
    <w:rsid w:val="00A9018E"/>
    <w:rsid w:val="00AA1D8D"/>
    <w:rsid w:val="00AA7F28"/>
    <w:rsid w:val="00AB1AC8"/>
    <w:rsid w:val="00AE23CE"/>
    <w:rsid w:val="00B11B94"/>
    <w:rsid w:val="00B228A3"/>
    <w:rsid w:val="00B47730"/>
    <w:rsid w:val="00B51C42"/>
    <w:rsid w:val="00B64132"/>
    <w:rsid w:val="00B72B87"/>
    <w:rsid w:val="00BB1C89"/>
    <w:rsid w:val="00BC09D4"/>
    <w:rsid w:val="00BE2EC5"/>
    <w:rsid w:val="00BF2CFF"/>
    <w:rsid w:val="00BF2D2F"/>
    <w:rsid w:val="00C541DD"/>
    <w:rsid w:val="00C546EF"/>
    <w:rsid w:val="00C62C1A"/>
    <w:rsid w:val="00CB0664"/>
    <w:rsid w:val="00CB09B1"/>
    <w:rsid w:val="00CB3F6C"/>
    <w:rsid w:val="00CC42E0"/>
    <w:rsid w:val="00CC436C"/>
    <w:rsid w:val="00CF4F03"/>
    <w:rsid w:val="00D00307"/>
    <w:rsid w:val="00D53C0D"/>
    <w:rsid w:val="00D55B82"/>
    <w:rsid w:val="00D73B72"/>
    <w:rsid w:val="00D751B8"/>
    <w:rsid w:val="00D86E5E"/>
    <w:rsid w:val="00DA24A9"/>
    <w:rsid w:val="00DC2E8F"/>
    <w:rsid w:val="00DD3BF5"/>
    <w:rsid w:val="00DF3424"/>
    <w:rsid w:val="00E018A9"/>
    <w:rsid w:val="00E135B8"/>
    <w:rsid w:val="00E2077E"/>
    <w:rsid w:val="00E46028"/>
    <w:rsid w:val="00E46049"/>
    <w:rsid w:val="00E5096A"/>
    <w:rsid w:val="00E76DED"/>
    <w:rsid w:val="00E94A8A"/>
    <w:rsid w:val="00EC3956"/>
    <w:rsid w:val="00EC6A4A"/>
    <w:rsid w:val="00EE3938"/>
    <w:rsid w:val="00F051EC"/>
    <w:rsid w:val="00F128D1"/>
    <w:rsid w:val="00F16318"/>
    <w:rsid w:val="00F26E24"/>
    <w:rsid w:val="00F5487D"/>
    <w:rsid w:val="00F673DF"/>
    <w:rsid w:val="00F80E69"/>
    <w:rsid w:val="00F8321B"/>
    <w:rsid w:val="00F83246"/>
    <w:rsid w:val="00FA446F"/>
    <w:rsid w:val="00FB7184"/>
    <w:rsid w:val="00FC693F"/>
    <w:rsid w:val="00FF0D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178BD7"/>
  <w14:defaultImageDpi w14:val="300"/>
  <w15:docId w15:val="{2FEE431A-81A7-45A7-BD7A-EAAA53975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C4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dnoteText">
    <w:name w:val="endnote text"/>
    <w:basedOn w:val="Normal"/>
    <w:link w:val="EndnoteTextChar"/>
    <w:uiPriority w:val="99"/>
    <w:semiHidden/>
    <w:unhideWhenUsed/>
    <w:rsid w:val="0040506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05062"/>
    <w:rPr>
      <w:sz w:val="20"/>
      <w:szCs w:val="20"/>
    </w:rPr>
  </w:style>
  <w:style w:type="character" w:styleId="EndnoteReference">
    <w:name w:val="endnote reference"/>
    <w:basedOn w:val="DefaultParagraphFont"/>
    <w:uiPriority w:val="99"/>
    <w:semiHidden/>
    <w:unhideWhenUsed/>
    <w:rsid w:val="00405062"/>
    <w:rPr>
      <w:vertAlign w:val="superscript"/>
    </w:rPr>
  </w:style>
  <w:style w:type="character" w:styleId="PlaceholderText">
    <w:name w:val="Placeholder Text"/>
    <w:basedOn w:val="DefaultParagraphFont"/>
    <w:uiPriority w:val="99"/>
    <w:semiHidden/>
    <w:rsid w:val="001E2386"/>
    <w:rPr>
      <w:color w:val="666666"/>
    </w:rPr>
  </w:style>
  <w:style w:type="paragraph" w:styleId="FootnoteText">
    <w:name w:val="footnote text"/>
    <w:basedOn w:val="Normal"/>
    <w:link w:val="FootnoteTextChar"/>
    <w:uiPriority w:val="99"/>
    <w:unhideWhenUsed/>
    <w:rsid w:val="001E2386"/>
    <w:pPr>
      <w:spacing w:after="0" w:line="240" w:lineRule="auto"/>
    </w:pPr>
    <w:rPr>
      <w:sz w:val="20"/>
      <w:szCs w:val="20"/>
    </w:rPr>
  </w:style>
  <w:style w:type="character" w:customStyle="1" w:styleId="FootnoteTextChar">
    <w:name w:val="Footnote Text Char"/>
    <w:basedOn w:val="DefaultParagraphFont"/>
    <w:link w:val="FootnoteText"/>
    <w:uiPriority w:val="99"/>
    <w:rsid w:val="001E2386"/>
    <w:rPr>
      <w:sz w:val="20"/>
      <w:szCs w:val="20"/>
    </w:rPr>
  </w:style>
  <w:style w:type="character" w:styleId="FootnoteReference">
    <w:name w:val="footnote reference"/>
    <w:basedOn w:val="DefaultParagraphFont"/>
    <w:uiPriority w:val="99"/>
    <w:semiHidden/>
    <w:unhideWhenUsed/>
    <w:rsid w:val="001E2386"/>
    <w:rPr>
      <w:vertAlign w:val="superscript"/>
    </w:rPr>
  </w:style>
  <w:style w:type="paragraph" w:styleId="NormalWeb">
    <w:name w:val="Normal (Web)"/>
    <w:basedOn w:val="Normal"/>
    <w:uiPriority w:val="99"/>
    <w:semiHidden/>
    <w:unhideWhenUsed/>
    <w:rsid w:val="00FA446F"/>
    <w:rPr>
      <w:rFonts w:ascii="Times New Roman" w:hAnsi="Times New Roman" w:cs="Times New Roman"/>
      <w:sz w:val="24"/>
      <w:szCs w:val="24"/>
    </w:rPr>
  </w:style>
  <w:style w:type="character" w:styleId="Hyperlink">
    <w:name w:val="Hyperlink"/>
    <w:basedOn w:val="DefaultParagraphFont"/>
    <w:uiPriority w:val="99"/>
    <w:unhideWhenUsed/>
    <w:rsid w:val="00B11B94"/>
    <w:rPr>
      <w:color w:val="0000FF" w:themeColor="hyperlink"/>
      <w:u w:val="single"/>
    </w:rPr>
  </w:style>
  <w:style w:type="character" w:styleId="UnresolvedMention">
    <w:name w:val="Unresolved Mention"/>
    <w:basedOn w:val="DefaultParagraphFont"/>
    <w:uiPriority w:val="99"/>
    <w:semiHidden/>
    <w:unhideWhenUsed/>
    <w:rsid w:val="00B11B94"/>
    <w:rPr>
      <w:color w:val="605E5C"/>
      <w:shd w:val="clear" w:color="auto" w:fill="E1DFDD"/>
    </w:rPr>
  </w:style>
  <w:style w:type="character" w:styleId="FollowedHyperlink">
    <w:name w:val="FollowedHyperlink"/>
    <w:basedOn w:val="DefaultParagraphFont"/>
    <w:uiPriority w:val="99"/>
    <w:semiHidden/>
    <w:unhideWhenUsed/>
    <w:rsid w:val="00E018A9"/>
    <w:rPr>
      <w:color w:val="800080" w:themeColor="followedHyperlink"/>
      <w:u w:val="single"/>
    </w:rPr>
  </w:style>
  <w:style w:type="paragraph" w:customStyle="1" w:styleId="FirstParagraph">
    <w:name w:val="First Paragraph"/>
    <w:basedOn w:val="BodyText"/>
    <w:next w:val="BodyText"/>
    <w:qFormat/>
    <w:rsid w:val="00E018A9"/>
    <w:pPr>
      <w:spacing w:before="180" w:after="180" w:line="240" w:lineRule="auto"/>
    </w:pPr>
    <w:rPr>
      <w:rFonts w:eastAsiaTheme="minorHAnsi"/>
      <w:sz w:val="24"/>
      <w:szCs w:val="24"/>
    </w:rPr>
  </w:style>
  <w:style w:type="paragraph" w:styleId="TOC1">
    <w:name w:val="toc 1"/>
    <w:basedOn w:val="Normal"/>
    <w:next w:val="Normal"/>
    <w:autoRedefine/>
    <w:uiPriority w:val="39"/>
    <w:unhideWhenUsed/>
    <w:rsid w:val="00D55B8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791729">
      <w:bodyDiv w:val="1"/>
      <w:marLeft w:val="0"/>
      <w:marRight w:val="0"/>
      <w:marTop w:val="0"/>
      <w:marBottom w:val="0"/>
      <w:divBdr>
        <w:top w:val="none" w:sz="0" w:space="0" w:color="auto"/>
        <w:left w:val="none" w:sz="0" w:space="0" w:color="auto"/>
        <w:bottom w:val="none" w:sz="0" w:space="0" w:color="auto"/>
        <w:right w:val="none" w:sz="0" w:space="0" w:color="auto"/>
      </w:divBdr>
    </w:div>
    <w:div w:id="105736518">
      <w:bodyDiv w:val="1"/>
      <w:marLeft w:val="0"/>
      <w:marRight w:val="0"/>
      <w:marTop w:val="0"/>
      <w:marBottom w:val="0"/>
      <w:divBdr>
        <w:top w:val="none" w:sz="0" w:space="0" w:color="auto"/>
        <w:left w:val="none" w:sz="0" w:space="0" w:color="auto"/>
        <w:bottom w:val="none" w:sz="0" w:space="0" w:color="auto"/>
        <w:right w:val="none" w:sz="0" w:space="0" w:color="auto"/>
      </w:divBdr>
      <w:divsChild>
        <w:div w:id="199361461">
          <w:marLeft w:val="0"/>
          <w:marRight w:val="0"/>
          <w:marTop w:val="0"/>
          <w:marBottom w:val="0"/>
          <w:divBdr>
            <w:top w:val="none" w:sz="0" w:space="0" w:color="auto"/>
            <w:left w:val="none" w:sz="0" w:space="0" w:color="auto"/>
            <w:bottom w:val="none" w:sz="0" w:space="0" w:color="auto"/>
            <w:right w:val="none" w:sz="0" w:space="0" w:color="auto"/>
          </w:divBdr>
          <w:divsChild>
            <w:div w:id="950894408">
              <w:marLeft w:val="0"/>
              <w:marRight w:val="0"/>
              <w:marTop w:val="0"/>
              <w:marBottom w:val="0"/>
              <w:divBdr>
                <w:top w:val="none" w:sz="0" w:space="0" w:color="auto"/>
                <w:left w:val="none" w:sz="0" w:space="0" w:color="auto"/>
                <w:bottom w:val="none" w:sz="0" w:space="0" w:color="auto"/>
                <w:right w:val="none" w:sz="0" w:space="0" w:color="auto"/>
              </w:divBdr>
              <w:divsChild>
                <w:div w:id="1698849270">
                  <w:marLeft w:val="0"/>
                  <w:marRight w:val="0"/>
                  <w:marTop w:val="0"/>
                  <w:marBottom w:val="0"/>
                  <w:divBdr>
                    <w:top w:val="none" w:sz="0" w:space="0" w:color="auto"/>
                    <w:left w:val="none" w:sz="0" w:space="0" w:color="auto"/>
                    <w:bottom w:val="none" w:sz="0" w:space="0" w:color="auto"/>
                    <w:right w:val="none" w:sz="0" w:space="0" w:color="auto"/>
                  </w:divBdr>
                  <w:divsChild>
                    <w:div w:id="477108418">
                      <w:marLeft w:val="180"/>
                      <w:marRight w:val="0"/>
                      <w:marTop w:val="0"/>
                      <w:marBottom w:val="0"/>
                      <w:divBdr>
                        <w:top w:val="none" w:sz="0" w:space="0" w:color="auto"/>
                        <w:left w:val="none" w:sz="0" w:space="0" w:color="auto"/>
                        <w:bottom w:val="none" w:sz="0" w:space="0" w:color="auto"/>
                        <w:right w:val="none" w:sz="0" w:space="0" w:color="auto"/>
                      </w:divBdr>
                      <w:divsChild>
                        <w:div w:id="835801418">
                          <w:marLeft w:val="0"/>
                          <w:marRight w:val="0"/>
                          <w:marTop w:val="0"/>
                          <w:marBottom w:val="0"/>
                          <w:divBdr>
                            <w:top w:val="none" w:sz="0" w:space="0" w:color="auto"/>
                            <w:left w:val="none" w:sz="0" w:space="0" w:color="auto"/>
                            <w:bottom w:val="none" w:sz="0" w:space="0" w:color="auto"/>
                            <w:right w:val="none" w:sz="0" w:space="0" w:color="auto"/>
                          </w:divBdr>
                          <w:divsChild>
                            <w:div w:id="71882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06751">
      <w:bodyDiv w:val="1"/>
      <w:marLeft w:val="0"/>
      <w:marRight w:val="0"/>
      <w:marTop w:val="0"/>
      <w:marBottom w:val="0"/>
      <w:divBdr>
        <w:top w:val="none" w:sz="0" w:space="0" w:color="auto"/>
        <w:left w:val="none" w:sz="0" w:space="0" w:color="auto"/>
        <w:bottom w:val="none" w:sz="0" w:space="0" w:color="auto"/>
        <w:right w:val="none" w:sz="0" w:space="0" w:color="auto"/>
      </w:divBdr>
      <w:divsChild>
        <w:div w:id="337466261">
          <w:marLeft w:val="0"/>
          <w:marRight w:val="0"/>
          <w:marTop w:val="0"/>
          <w:marBottom w:val="0"/>
          <w:divBdr>
            <w:top w:val="none" w:sz="0" w:space="0" w:color="auto"/>
            <w:left w:val="none" w:sz="0" w:space="0" w:color="auto"/>
            <w:bottom w:val="none" w:sz="0" w:space="0" w:color="auto"/>
            <w:right w:val="none" w:sz="0" w:space="0" w:color="auto"/>
          </w:divBdr>
          <w:divsChild>
            <w:div w:id="234708305">
              <w:marLeft w:val="0"/>
              <w:marRight w:val="0"/>
              <w:marTop w:val="0"/>
              <w:marBottom w:val="0"/>
              <w:divBdr>
                <w:top w:val="none" w:sz="0" w:space="0" w:color="auto"/>
                <w:left w:val="none" w:sz="0" w:space="0" w:color="auto"/>
                <w:bottom w:val="none" w:sz="0" w:space="0" w:color="auto"/>
                <w:right w:val="none" w:sz="0" w:space="0" w:color="auto"/>
              </w:divBdr>
              <w:divsChild>
                <w:div w:id="167911947">
                  <w:marLeft w:val="0"/>
                  <w:marRight w:val="0"/>
                  <w:marTop w:val="0"/>
                  <w:marBottom w:val="0"/>
                  <w:divBdr>
                    <w:top w:val="none" w:sz="0" w:space="0" w:color="auto"/>
                    <w:left w:val="none" w:sz="0" w:space="0" w:color="auto"/>
                    <w:bottom w:val="none" w:sz="0" w:space="0" w:color="auto"/>
                    <w:right w:val="none" w:sz="0" w:space="0" w:color="auto"/>
                  </w:divBdr>
                  <w:divsChild>
                    <w:div w:id="67310517">
                      <w:marLeft w:val="180"/>
                      <w:marRight w:val="0"/>
                      <w:marTop w:val="0"/>
                      <w:marBottom w:val="0"/>
                      <w:divBdr>
                        <w:top w:val="none" w:sz="0" w:space="0" w:color="auto"/>
                        <w:left w:val="none" w:sz="0" w:space="0" w:color="auto"/>
                        <w:bottom w:val="none" w:sz="0" w:space="0" w:color="auto"/>
                        <w:right w:val="none" w:sz="0" w:space="0" w:color="auto"/>
                      </w:divBdr>
                      <w:divsChild>
                        <w:div w:id="160924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245270">
      <w:bodyDiv w:val="1"/>
      <w:marLeft w:val="0"/>
      <w:marRight w:val="0"/>
      <w:marTop w:val="0"/>
      <w:marBottom w:val="0"/>
      <w:divBdr>
        <w:top w:val="none" w:sz="0" w:space="0" w:color="auto"/>
        <w:left w:val="none" w:sz="0" w:space="0" w:color="auto"/>
        <w:bottom w:val="none" w:sz="0" w:space="0" w:color="auto"/>
        <w:right w:val="none" w:sz="0" w:space="0" w:color="auto"/>
      </w:divBdr>
      <w:divsChild>
        <w:div w:id="1061515452">
          <w:marLeft w:val="0"/>
          <w:marRight w:val="0"/>
          <w:marTop w:val="0"/>
          <w:marBottom w:val="0"/>
          <w:divBdr>
            <w:top w:val="none" w:sz="0" w:space="0" w:color="auto"/>
            <w:left w:val="none" w:sz="0" w:space="0" w:color="auto"/>
            <w:bottom w:val="none" w:sz="0" w:space="0" w:color="auto"/>
            <w:right w:val="none" w:sz="0" w:space="0" w:color="auto"/>
          </w:divBdr>
        </w:div>
      </w:divsChild>
    </w:div>
    <w:div w:id="302127164">
      <w:bodyDiv w:val="1"/>
      <w:marLeft w:val="0"/>
      <w:marRight w:val="0"/>
      <w:marTop w:val="0"/>
      <w:marBottom w:val="0"/>
      <w:divBdr>
        <w:top w:val="none" w:sz="0" w:space="0" w:color="auto"/>
        <w:left w:val="none" w:sz="0" w:space="0" w:color="auto"/>
        <w:bottom w:val="none" w:sz="0" w:space="0" w:color="auto"/>
        <w:right w:val="none" w:sz="0" w:space="0" w:color="auto"/>
      </w:divBdr>
    </w:div>
    <w:div w:id="306057279">
      <w:bodyDiv w:val="1"/>
      <w:marLeft w:val="0"/>
      <w:marRight w:val="0"/>
      <w:marTop w:val="0"/>
      <w:marBottom w:val="0"/>
      <w:divBdr>
        <w:top w:val="none" w:sz="0" w:space="0" w:color="auto"/>
        <w:left w:val="none" w:sz="0" w:space="0" w:color="auto"/>
        <w:bottom w:val="none" w:sz="0" w:space="0" w:color="auto"/>
        <w:right w:val="none" w:sz="0" w:space="0" w:color="auto"/>
      </w:divBdr>
    </w:div>
    <w:div w:id="338890861">
      <w:bodyDiv w:val="1"/>
      <w:marLeft w:val="0"/>
      <w:marRight w:val="0"/>
      <w:marTop w:val="0"/>
      <w:marBottom w:val="0"/>
      <w:divBdr>
        <w:top w:val="none" w:sz="0" w:space="0" w:color="auto"/>
        <w:left w:val="none" w:sz="0" w:space="0" w:color="auto"/>
        <w:bottom w:val="none" w:sz="0" w:space="0" w:color="auto"/>
        <w:right w:val="none" w:sz="0" w:space="0" w:color="auto"/>
      </w:divBdr>
      <w:divsChild>
        <w:div w:id="735855551">
          <w:marLeft w:val="0"/>
          <w:marRight w:val="0"/>
          <w:marTop w:val="0"/>
          <w:marBottom w:val="0"/>
          <w:divBdr>
            <w:top w:val="none" w:sz="0" w:space="0" w:color="auto"/>
            <w:left w:val="none" w:sz="0" w:space="0" w:color="auto"/>
            <w:bottom w:val="none" w:sz="0" w:space="0" w:color="auto"/>
            <w:right w:val="none" w:sz="0" w:space="0" w:color="auto"/>
          </w:divBdr>
        </w:div>
      </w:divsChild>
    </w:div>
    <w:div w:id="382363622">
      <w:bodyDiv w:val="1"/>
      <w:marLeft w:val="0"/>
      <w:marRight w:val="0"/>
      <w:marTop w:val="0"/>
      <w:marBottom w:val="0"/>
      <w:divBdr>
        <w:top w:val="none" w:sz="0" w:space="0" w:color="auto"/>
        <w:left w:val="none" w:sz="0" w:space="0" w:color="auto"/>
        <w:bottom w:val="none" w:sz="0" w:space="0" w:color="auto"/>
        <w:right w:val="none" w:sz="0" w:space="0" w:color="auto"/>
      </w:divBdr>
      <w:divsChild>
        <w:div w:id="1995142032">
          <w:marLeft w:val="0"/>
          <w:marRight w:val="0"/>
          <w:marTop w:val="60"/>
          <w:marBottom w:val="0"/>
          <w:divBdr>
            <w:top w:val="none" w:sz="0" w:space="0" w:color="auto"/>
            <w:left w:val="none" w:sz="0" w:space="0" w:color="auto"/>
            <w:bottom w:val="none" w:sz="0" w:space="0" w:color="auto"/>
            <w:right w:val="none" w:sz="0" w:space="0" w:color="auto"/>
          </w:divBdr>
        </w:div>
      </w:divsChild>
    </w:div>
    <w:div w:id="449934144">
      <w:bodyDiv w:val="1"/>
      <w:marLeft w:val="0"/>
      <w:marRight w:val="0"/>
      <w:marTop w:val="0"/>
      <w:marBottom w:val="0"/>
      <w:divBdr>
        <w:top w:val="none" w:sz="0" w:space="0" w:color="auto"/>
        <w:left w:val="none" w:sz="0" w:space="0" w:color="auto"/>
        <w:bottom w:val="none" w:sz="0" w:space="0" w:color="auto"/>
        <w:right w:val="none" w:sz="0" w:space="0" w:color="auto"/>
      </w:divBdr>
    </w:div>
    <w:div w:id="744914651">
      <w:bodyDiv w:val="1"/>
      <w:marLeft w:val="0"/>
      <w:marRight w:val="0"/>
      <w:marTop w:val="0"/>
      <w:marBottom w:val="0"/>
      <w:divBdr>
        <w:top w:val="none" w:sz="0" w:space="0" w:color="auto"/>
        <w:left w:val="none" w:sz="0" w:space="0" w:color="auto"/>
        <w:bottom w:val="none" w:sz="0" w:space="0" w:color="auto"/>
        <w:right w:val="none" w:sz="0" w:space="0" w:color="auto"/>
      </w:divBdr>
      <w:divsChild>
        <w:div w:id="1963729446">
          <w:marLeft w:val="0"/>
          <w:marRight w:val="0"/>
          <w:marTop w:val="0"/>
          <w:marBottom w:val="0"/>
          <w:divBdr>
            <w:top w:val="none" w:sz="0" w:space="0" w:color="auto"/>
            <w:left w:val="none" w:sz="0" w:space="0" w:color="auto"/>
            <w:bottom w:val="none" w:sz="0" w:space="0" w:color="auto"/>
            <w:right w:val="none" w:sz="0" w:space="0" w:color="auto"/>
          </w:divBdr>
        </w:div>
      </w:divsChild>
    </w:div>
    <w:div w:id="776363604">
      <w:bodyDiv w:val="1"/>
      <w:marLeft w:val="0"/>
      <w:marRight w:val="0"/>
      <w:marTop w:val="0"/>
      <w:marBottom w:val="0"/>
      <w:divBdr>
        <w:top w:val="none" w:sz="0" w:space="0" w:color="auto"/>
        <w:left w:val="none" w:sz="0" w:space="0" w:color="auto"/>
        <w:bottom w:val="none" w:sz="0" w:space="0" w:color="auto"/>
        <w:right w:val="none" w:sz="0" w:space="0" w:color="auto"/>
      </w:divBdr>
    </w:div>
    <w:div w:id="876819133">
      <w:bodyDiv w:val="1"/>
      <w:marLeft w:val="0"/>
      <w:marRight w:val="0"/>
      <w:marTop w:val="0"/>
      <w:marBottom w:val="0"/>
      <w:divBdr>
        <w:top w:val="none" w:sz="0" w:space="0" w:color="auto"/>
        <w:left w:val="none" w:sz="0" w:space="0" w:color="auto"/>
        <w:bottom w:val="none" w:sz="0" w:space="0" w:color="auto"/>
        <w:right w:val="none" w:sz="0" w:space="0" w:color="auto"/>
      </w:divBdr>
    </w:div>
    <w:div w:id="894588274">
      <w:bodyDiv w:val="1"/>
      <w:marLeft w:val="0"/>
      <w:marRight w:val="0"/>
      <w:marTop w:val="0"/>
      <w:marBottom w:val="0"/>
      <w:divBdr>
        <w:top w:val="none" w:sz="0" w:space="0" w:color="auto"/>
        <w:left w:val="none" w:sz="0" w:space="0" w:color="auto"/>
        <w:bottom w:val="none" w:sz="0" w:space="0" w:color="auto"/>
        <w:right w:val="none" w:sz="0" w:space="0" w:color="auto"/>
      </w:divBdr>
    </w:div>
    <w:div w:id="914557774">
      <w:bodyDiv w:val="1"/>
      <w:marLeft w:val="0"/>
      <w:marRight w:val="0"/>
      <w:marTop w:val="0"/>
      <w:marBottom w:val="0"/>
      <w:divBdr>
        <w:top w:val="none" w:sz="0" w:space="0" w:color="auto"/>
        <w:left w:val="none" w:sz="0" w:space="0" w:color="auto"/>
        <w:bottom w:val="none" w:sz="0" w:space="0" w:color="auto"/>
        <w:right w:val="none" w:sz="0" w:space="0" w:color="auto"/>
      </w:divBdr>
    </w:div>
    <w:div w:id="946352905">
      <w:bodyDiv w:val="1"/>
      <w:marLeft w:val="0"/>
      <w:marRight w:val="0"/>
      <w:marTop w:val="0"/>
      <w:marBottom w:val="0"/>
      <w:divBdr>
        <w:top w:val="none" w:sz="0" w:space="0" w:color="auto"/>
        <w:left w:val="none" w:sz="0" w:space="0" w:color="auto"/>
        <w:bottom w:val="none" w:sz="0" w:space="0" w:color="auto"/>
        <w:right w:val="none" w:sz="0" w:space="0" w:color="auto"/>
      </w:divBdr>
      <w:divsChild>
        <w:div w:id="2144879482">
          <w:marLeft w:val="0"/>
          <w:marRight w:val="0"/>
          <w:marTop w:val="0"/>
          <w:marBottom w:val="0"/>
          <w:divBdr>
            <w:top w:val="none" w:sz="0" w:space="0" w:color="auto"/>
            <w:left w:val="none" w:sz="0" w:space="0" w:color="auto"/>
            <w:bottom w:val="none" w:sz="0" w:space="0" w:color="auto"/>
            <w:right w:val="none" w:sz="0" w:space="0" w:color="auto"/>
          </w:divBdr>
        </w:div>
      </w:divsChild>
    </w:div>
    <w:div w:id="958923849">
      <w:bodyDiv w:val="1"/>
      <w:marLeft w:val="0"/>
      <w:marRight w:val="0"/>
      <w:marTop w:val="0"/>
      <w:marBottom w:val="0"/>
      <w:divBdr>
        <w:top w:val="none" w:sz="0" w:space="0" w:color="auto"/>
        <w:left w:val="none" w:sz="0" w:space="0" w:color="auto"/>
        <w:bottom w:val="none" w:sz="0" w:space="0" w:color="auto"/>
        <w:right w:val="none" w:sz="0" w:space="0" w:color="auto"/>
      </w:divBdr>
      <w:divsChild>
        <w:div w:id="406222844">
          <w:marLeft w:val="0"/>
          <w:marRight w:val="0"/>
          <w:marTop w:val="60"/>
          <w:marBottom w:val="0"/>
          <w:divBdr>
            <w:top w:val="none" w:sz="0" w:space="0" w:color="auto"/>
            <w:left w:val="none" w:sz="0" w:space="0" w:color="auto"/>
            <w:bottom w:val="none" w:sz="0" w:space="0" w:color="auto"/>
            <w:right w:val="none" w:sz="0" w:space="0" w:color="auto"/>
          </w:divBdr>
        </w:div>
      </w:divsChild>
    </w:div>
    <w:div w:id="1125154216">
      <w:bodyDiv w:val="1"/>
      <w:marLeft w:val="0"/>
      <w:marRight w:val="0"/>
      <w:marTop w:val="0"/>
      <w:marBottom w:val="0"/>
      <w:divBdr>
        <w:top w:val="none" w:sz="0" w:space="0" w:color="auto"/>
        <w:left w:val="none" w:sz="0" w:space="0" w:color="auto"/>
        <w:bottom w:val="none" w:sz="0" w:space="0" w:color="auto"/>
        <w:right w:val="none" w:sz="0" w:space="0" w:color="auto"/>
      </w:divBdr>
      <w:divsChild>
        <w:div w:id="97413686">
          <w:marLeft w:val="0"/>
          <w:marRight w:val="0"/>
          <w:marTop w:val="0"/>
          <w:marBottom w:val="0"/>
          <w:divBdr>
            <w:top w:val="none" w:sz="0" w:space="0" w:color="auto"/>
            <w:left w:val="none" w:sz="0" w:space="0" w:color="auto"/>
            <w:bottom w:val="none" w:sz="0" w:space="0" w:color="auto"/>
            <w:right w:val="none" w:sz="0" w:space="0" w:color="auto"/>
          </w:divBdr>
          <w:divsChild>
            <w:div w:id="180583266">
              <w:marLeft w:val="0"/>
              <w:marRight w:val="0"/>
              <w:marTop w:val="0"/>
              <w:marBottom w:val="0"/>
              <w:divBdr>
                <w:top w:val="none" w:sz="0" w:space="0" w:color="auto"/>
                <w:left w:val="none" w:sz="0" w:space="0" w:color="auto"/>
                <w:bottom w:val="none" w:sz="0" w:space="0" w:color="auto"/>
                <w:right w:val="none" w:sz="0" w:space="0" w:color="auto"/>
              </w:divBdr>
              <w:divsChild>
                <w:div w:id="1745646050">
                  <w:marLeft w:val="0"/>
                  <w:marRight w:val="0"/>
                  <w:marTop w:val="0"/>
                  <w:marBottom w:val="0"/>
                  <w:divBdr>
                    <w:top w:val="none" w:sz="0" w:space="0" w:color="auto"/>
                    <w:left w:val="none" w:sz="0" w:space="0" w:color="auto"/>
                    <w:bottom w:val="none" w:sz="0" w:space="0" w:color="auto"/>
                    <w:right w:val="none" w:sz="0" w:space="0" w:color="auto"/>
                  </w:divBdr>
                  <w:divsChild>
                    <w:div w:id="1393769345">
                      <w:marLeft w:val="180"/>
                      <w:marRight w:val="0"/>
                      <w:marTop w:val="0"/>
                      <w:marBottom w:val="0"/>
                      <w:divBdr>
                        <w:top w:val="none" w:sz="0" w:space="0" w:color="auto"/>
                        <w:left w:val="none" w:sz="0" w:space="0" w:color="auto"/>
                        <w:bottom w:val="none" w:sz="0" w:space="0" w:color="auto"/>
                        <w:right w:val="none" w:sz="0" w:space="0" w:color="auto"/>
                      </w:divBdr>
                      <w:divsChild>
                        <w:div w:id="595603121">
                          <w:marLeft w:val="0"/>
                          <w:marRight w:val="0"/>
                          <w:marTop w:val="0"/>
                          <w:marBottom w:val="0"/>
                          <w:divBdr>
                            <w:top w:val="none" w:sz="0" w:space="0" w:color="auto"/>
                            <w:left w:val="none" w:sz="0" w:space="0" w:color="auto"/>
                            <w:bottom w:val="none" w:sz="0" w:space="0" w:color="auto"/>
                            <w:right w:val="none" w:sz="0" w:space="0" w:color="auto"/>
                          </w:divBdr>
                          <w:divsChild>
                            <w:div w:id="159412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378626">
      <w:bodyDiv w:val="1"/>
      <w:marLeft w:val="0"/>
      <w:marRight w:val="0"/>
      <w:marTop w:val="0"/>
      <w:marBottom w:val="0"/>
      <w:divBdr>
        <w:top w:val="none" w:sz="0" w:space="0" w:color="auto"/>
        <w:left w:val="none" w:sz="0" w:space="0" w:color="auto"/>
        <w:bottom w:val="none" w:sz="0" w:space="0" w:color="auto"/>
        <w:right w:val="none" w:sz="0" w:space="0" w:color="auto"/>
      </w:divBdr>
      <w:divsChild>
        <w:div w:id="1728721759">
          <w:marLeft w:val="0"/>
          <w:marRight w:val="0"/>
          <w:marTop w:val="0"/>
          <w:marBottom w:val="0"/>
          <w:divBdr>
            <w:top w:val="none" w:sz="0" w:space="0" w:color="auto"/>
            <w:left w:val="none" w:sz="0" w:space="0" w:color="auto"/>
            <w:bottom w:val="none" w:sz="0" w:space="0" w:color="auto"/>
            <w:right w:val="none" w:sz="0" w:space="0" w:color="auto"/>
          </w:divBdr>
        </w:div>
      </w:divsChild>
    </w:div>
    <w:div w:id="1242106299">
      <w:bodyDiv w:val="1"/>
      <w:marLeft w:val="0"/>
      <w:marRight w:val="0"/>
      <w:marTop w:val="0"/>
      <w:marBottom w:val="0"/>
      <w:divBdr>
        <w:top w:val="none" w:sz="0" w:space="0" w:color="auto"/>
        <w:left w:val="none" w:sz="0" w:space="0" w:color="auto"/>
        <w:bottom w:val="none" w:sz="0" w:space="0" w:color="auto"/>
        <w:right w:val="none" w:sz="0" w:space="0" w:color="auto"/>
      </w:divBdr>
      <w:divsChild>
        <w:div w:id="1229614159">
          <w:marLeft w:val="0"/>
          <w:marRight w:val="0"/>
          <w:marTop w:val="0"/>
          <w:marBottom w:val="0"/>
          <w:divBdr>
            <w:top w:val="none" w:sz="0" w:space="0" w:color="auto"/>
            <w:left w:val="none" w:sz="0" w:space="0" w:color="auto"/>
            <w:bottom w:val="none" w:sz="0" w:space="0" w:color="auto"/>
            <w:right w:val="none" w:sz="0" w:space="0" w:color="auto"/>
          </w:divBdr>
        </w:div>
      </w:divsChild>
    </w:div>
    <w:div w:id="1348747526">
      <w:bodyDiv w:val="1"/>
      <w:marLeft w:val="0"/>
      <w:marRight w:val="0"/>
      <w:marTop w:val="0"/>
      <w:marBottom w:val="0"/>
      <w:divBdr>
        <w:top w:val="none" w:sz="0" w:space="0" w:color="auto"/>
        <w:left w:val="none" w:sz="0" w:space="0" w:color="auto"/>
        <w:bottom w:val="none" w:sz="0" w:space="0" w:color="auto"/>
        <w:right w:val="none" w:sz="0" w:space="0" w:color="auto"/>
      </w:divBdr>
      <w:divsChild>
        <w:div w:id="1958758040">
          <w:marLeft w:val="0"/>
          <w:marRight w:val="0"/>
          <w:marTop w:val="60"/>
          <w:marBottom w:val="0"/>
          <w:divBdr>
            <w:top w:val="none" w:sz="0" w:space="0" w:color="auto"/>
            <w:left w:val="none" w:sz="0" w:space="0" w:color="auto"/>
            <w:bottom w:val="none" w:sz="0" w:space="0" w:color="auto"/>
            <w:right w:val="none" w:sz="0" w:space="0" w:color="auto"/>
          </w:divBdr>
        </w:div>
      </w:divsChild>
    </w:div>
    <w:div w:id="1440443739">
      <w:bodyDiv w:val="1"/>
      <w:marLeft w:val="0"/>
      <w:marRight w:val="0"/>
      <w:marTop w:val="0"/>
      <w:marBottom w:val="0"/>
      <w:divBdr>
        <w:top w:val="none" w:sz="0" w:space="0" w:color="auto"/>
        <w:left w:val="none" w:sz="0" w:space="0" w:color="auto"/>
        <w:bottom w:val="none" w:sz="0" w:space="0" w:color="auto"/>
        <w:right w:val="none" w:sz="0" w:space="0" w:color="auto"/>
      </w:divBdr>
      <w:divsChild>
        <w:div w:id="984970901">
          <w:marLeft w:val="0"/>
          <w:marRight w:val="0"/>
          <w:marTop w:val="0"/>
          <w:marBottom w:val="0"/>
          <w:divBdr>
            <w:top w:val="none" w:sz="0" w:space="0" w:color="auto"/>
            <w:left w:val="none" w:sz="0" w:space="0" w:color="auto"/>
            <w:bottom w:val="none" w:sz="0" w:space="0" w:color="auto"/>
            <w:right w:val="none" w:sz="0" w:space="0" w:color="auto"/>
          </w:divBdr>
        </w:div>
      </w:divsChild>
    </w:div>
    <w:div w:id="1442143485">
      <w:bodyDiv w:val="1"/>
      <w:marLeft w:val="0"/>
      <w:marRight w:val="0"/>
      <w:marTop w:val="0"/>
      <w:marBottom w:val="0"/>
      <w:divBdr>
        <w:top w:val="none" w:sz="0" w:space="0" w:color="auto"/>
        <w:left w:val="none" w:sz="0" w:space="0" w:color="auto"/>
        <w:bottom w:val="none" w:sz="0" w:space="0" w:color="auto"/>
        <w:right w:val="none" w:sz="0" w:space="0" w:color="auto"/>
      </w:divBdr>
      <w:divsChild>
        <w:div w:id="1148941110">
          <w:marLeft w:val="0"/>
          <w:marRight w:val="0"/>
          <w:marTop w:val="0"/>
          <w:marBottom w:val="0"/>
          <w:divBdr>
            <w:top w:val="none" w:sz="0" w:space="0" w:color="auto"/>
            <w:left w:val="none" w:sz="0" w:space="0" w:color="auto"/>
            <w:bottom w:val="none" w:sz="0" w:space="0" w:color="auto"/>
            <w:right w:val="none" w:sz="0" w:space="0" w:color="auto"/>
          </w:divBdr>
          <w:divsChild>
            <w:div w:id="159122724">
              <w:marLeft w:val="0"/>
              <w:marRight w:val="0"/>
              <w:marTop w:val="0"/>
              <w:marBottom w:val="0"/>
              <w:divBdr>
                <w:top w:val="none" w:sz="0" w:space="0" w:color="auto"/>
                <w:left w:val="none" w:sz="0" w:space="0" w:color="auto"/>
                <w:bottom w:val="none" w:sz="0" w:space="0" w:color="auto"/>
                <w:right w:val="none" w:sz="0" w:space="0" w:color="auto"/>
              </w:divBdr>
              <w:divsChild>
                <w:div w:id="325402525">
                  <w:marLeft w:val="0"/>
                  <w:marRight w:val="0"/>
                  <w:marTop w:val="0"/>
                  <w:marBottom w:val="0"/>
                  <w:divBdr>
                    <w:top w:val="none" w:sz="0" w:space="0" w:color="auto"/>
                    <w:left w:val="none" w:sz="0" w:space="0" w:color="auto"/>
                    <w:bottom w:val="none" w:sz="0" w:space="0" w:color="auto"/>
                    <w:right w:val="none" w:sz="0" w:space="0" w:color="auto"/>
                  </w:divBdr>
                  <w:divsChild>
                    <w:div w:id="1443958719">
                      <w:marLeft w:val="180"/>
                      <w:marRight w:val="0"/>
                      <w:marTop w:val="0"/>
                      <w:marBottom w:val="0"/>
                      <w:divBdr>
                        <w:top w:val="none" w:sz="0" w:space="0" w:color="auto"/>
                        <w:left w:val="none" w:sz="0" w:space="0" w:color="auto"/>
                        <w:bottom w:val="none" w:sz="0" w:space="0" w:color="auto"/>
                        <w:right w:val="none" w:sz="0" w:space="0" w:color="auto"/>
                      </w:divBdr>
                      <w:divsChild>
                        <w:div w:id="940257492">
                          <w:marLeft w:val="0"/>
                          <w:marRight w:val="0"/>
                          <w:marTop w:val="0"/>
                          <w:marBottom w:val="0"/>
                          <w:divBdr>
                            <w:top w:val="none" w:sz="0" w:space="0" w:color="auto"/>
                            <w:left w:val="none" w:sz="0" w:space="0" w:color="auto"/>
                            <w:bottom w:val="none" w:sz="0" w:space="0" w:color="auto"/>
                            <w:right w:val="none" w:sz="0" w:space="0" w:color="auto"/>
                          </w:divBdr>
                          <w:divsChild>
                            <w:div w:id="202816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4801200">
      <w:bodyDiv w:val="1"/>
      <w:marLeft w:val="0"/>
      <w:marRight w:val="0"/>
      <w:marTop w:val="0"/>
      <w:marBottom w:val="0"/>
      <w:divBdr>
        <w:top w:val="none" w:sz="0" w:space="0" w:color="auto"/>
        <w:left w:val="none" w:sz="0" w:space="0" w:color="auto"/>
        <w:bottom w:val="none" w:sz="0" w:space="0" w:color="auto"/>
        <w:right w:val="none" w:sz="0" w:space="0" w:color="auto"/>
      </w:divBdr>
    </w:div>
    <w:div w:id="1640181988">
      <w:bodyDiv w:val="1"/>
      <w:marLeft w:val="0"/>
      <w:marRight w:val="0"/>
      <w:marTop w:val="0"/>
      <w:marBottom w:val="0"/>
      <w:divBdr>
        <w:top w:val="none" w:sz="0" w:space="0" w:color="auto"/>
        <w:left w:val="none" w:sz="0" w:space="0" w:color="auto"/>
        <w:bottom w:val="none" w:sz="0" w:space="0" w:color="auto"/>
        <w:right w:val="none" w:sz="0" w:space="0" w:color="auto"/>
      </w:divBdr>
    </w:div>
    <w:div w:id="1740403796">
      <w:bodyDiv w:val="1"/>
      <w:marLeft w:val="0"/>
      <w:marRight w:val="0"/>
      <w:marTop w:val="0"/>
      <w:marBottom w:val="0"/>
      <w:divBdr>
        <w:top w:val="none" w:sz="0" w:space="0" w:color="auto"/>
        <w:left w:val="none" w:sz="0" w:space="0" w:color="auto"/>
        <w:bottom w:val="none" w:sz="0" w:space="0" w:color="auto"/>
        <w:right w:val="none" w:sz="0" w:space="0" w:color="auto"/>
      </w:divBdr>
      <w:divsChild>
        <w:div w:id="201022126">
          <w:marLeft w:val="0"/>
          <w:marRight w:val="0"/>
          <w:marTop w:val="0"/>
          <w:marBottom w:val="0"/>
          <w:divBdr>
            <w:top w:val="none" w:sz="0" w:space="0" w:color="auto"/>
            <w:left w:val="none" w:sz="0" w:space="0" w:color="auto"/>
            <w:bottom w:val="none" w:sz="0" w:space="0" w:color="auto"/>
            <w:right w:val="none" w:sz="0" w:space="0" w:color="auto"/>
          </w:divBdr>
        </w:div>
      </w:divsChild>
    </w:div>
    <w:div w:id="1814985553">
      <w:bodyDiv w:val="1"/>
      <w:marLeft w:val="0"/>
      <w:marRight w:val="0"/>
      <w:marTop w:val="0"/>
      <w:marBottom w:val="0"/>
      <w:divBdr>
        <w:top w:val="none" w:sz="0" w:space="0" w:color="auto"/>
        <w:left w:val="none" w:sz="0" w:space="0" w:color="auto"/>
        <w:bottom w:val="none" w:sz="0" w:space="0" w:color="auto"/>
        <w:right w:val="none" w:sz="0" w:space="0" w:color="auto"/>
      </w:divBdr>
      <w:divsChild>
        <w:div w:id="1658921999">
          <w:marLeft w:val="0"/>
          <w:marRight w:val="0"/>
          <w:marTop w:val="0"/>
          <w:marBottom w:val="0"/>
          <w:divBdr>
            <w:top w:val="none" w:sz="0" w:space="0" w:color="auto"/>
            <w:left w:val="none" w:sz="0" w:space="0" w:color="auto"/>
            <w:bottom w:val="none" w:sz="0" w:space="0" w:color="auto"/>
            <w:right w:val="none" w:sz="0" w:space="0" w:color="auto"/>
          </w:divBdr>
          <w:divsChild>
            <w:div w:id="368265514">
              <w:marLeft w:val="0"/>
              <w:marRight w:val="0"/>
              <w:marTop w:val="0"/>
              <w:marBottom w:val="0"/>
              <w:divBdr>
                <w:top w:val="none" w:sz="0" w:space="0" w:color="auto"/>
                <w:left w:val="none" w:sz="0" w:space="0" w:color="auto"/>
                <w:bottom w:val="none" w:sz="0" w:space="0" w:color="auto"/>
                <w:right w:val="none" w:sz="0" w:space="0" w:color="auto"/>
              </w:divBdr>
              <w:divsChild>
                <w:div w:id="209460700">
                  <w:marLeft w:val="0"/>
                  <w:marRight w:val="0"/>
                  <w:marTop w:val="0"/>
                  <w:marBottom w:val="0"/>
                  <w:divBdr>
                    <w:top w:val="none" w:sz="0" w:space="0" w:color="auto"/>
                    <w:left w:val="none" w:sz="0" w:space="0" w:color="auto"/>
                    <w:bottom w:val="none" w:sz="0" w:space="0" w:color="auto"/>
                    <w:right w:val="none" w:sz="0" w:space="0" w:color="auto"/>
                  </w:divBdr>
                  <w:divsChild>
                    <w:div w:id="211620732">
                      <w:marLeft w:val="180"/>
                      <w:marRight w:val="0"/>
                      <w:marTop w:val="0"/>
                      <w:marBottom w:val="0"/>
                      <w:divBdr>
                        <w:top w:val="none" w:sz="0" w:space="0" w:color="auto"/>
                        <w:left w:val="none" w:sz="0" w:space="0" w:color="auto"/>
                        <w:bottom w:val="none" w:sz="0" w:space="0" w:color="auto"/>
                        <w:right w:val="none" w:sz="0" w:space="0" w:color="auto"/>
                      </w:divBdr>
                      <w:divsChild>
                        <w:div w:id="460074705">
                          <w:marLeft w:val="0"/>
                          <w:marRight w:val="0"/>
                          <w:marTop w:val="0"/>
                          <w:marBottom w:val="0"/>
                          <w:divBdr>
                            <w:top w:val="none" w:sz="0" w:space="0" w:color="auto"/>
                            <w:left w:val="none" w:sz="0" w:space="0" w:color="auto"/>
                            <w:bottom w:val="none" w:sz="0" w:space="0" w:color="auto"/>
                            <w:right w:val="none" w:sz="0" w:space="0" w:color="auto"/>
                          </w:divBdr>
                          <w:divsChild>
                            <w:div w:id="5039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067947">
      <w:bodyDiv w:val="1"/>
      <w:marLeft w:val="0"/>
      <w:marRight w:val="0"/>
      <w:marTop w:val="0"/>
      <w:marBottom w:val="0"/>
      <w:divBdr>
        <w:top w:val="none" w:sz="0" w:space="0" w:color="auto"/>
        <w:left w:val="none" w:sz="0" w:space="0" w:color="auto"/>
        <w:bottom w:val="none" w:sz="0" w:space="0" w:color="auto"/>
        <w:right w:val="none" w:sz="0" w:space="0" w:color="auto"/>
      </w:divBdr>
    </w:div>
    <w:div w:id="1896812085">
      <w:bodyDiv w:val="1"/>
      <w:marLeft w:val="0"/>
      <w:marRight w:val="0"/>
      <w:marTop w:val="0"/>
      <w:marBottom w:val="0"/>
      <w:divBdr>
        <w:top w:val="none" w:sz="0" w:space="0" w:color="auto"/>
        <w:left w:val="none" w:sz="0" w:space="0" w:color="auto"/>
        <w:bottom w:val="none" w:sz="0" w:space="0" w:color="auto"/>
        <w:right w:val="none" w:sz="0" w:space="0" w:color="auto"/>
      </w:divBdr>
      <w:divsChild>
        <w:div w:id="352387612">
          <w:marLeft w:val="0"/>
          <w:marRight w:val="0"/>
          <w:marTop w:val="60"/>
          <w:marBottom w:val="0"/>
          <w:divBdr>
            <w:top w:val="none" w:sz="0" w:space="0" w:color="auto"/>
            <w:left w:val="none" w:sz="0" w:space="0" w:color="auto"/>
            <w:bottom w:val="none" w:sz="0" w:space="0" w:color="auto"/>
            <w:right w:val="none" w:sz="0" w:space="0" w:color="auto"/>
          </w:divBdr>
        </w:div>
      </w:divsChild>
    </w:div>
    <w:div w:id="1954559460">
      <w:bodyDiv w:val="1"/>
      <w:marLeft w:val="0"/>
      <w:marRight w:val="0"/>
      <w:marTop w:val="0"/>
      <w:marBottom w:val="0"/>
      <w:divBdr>
        <w:top w:val="none" w:sz="0" w:space="0" w:color="auto"/>
        <w:left w:val="none" w:sz="0" w:space="0" w:color="auto"/>
        <w:bottom w:val="none" w:sz="0" w:space="0" w:color="auto"/>
        <w:right w:val="none" w:sz="0" w:space="0" w:color="auto"/>
      </w:divBdr>
      <w:divsChild>
        <w:div w:id="375087421">
          <w:marLeft w:val="0"/>
          <w:marRight w:val="0"/>
          <w:marTop w:val="0"/>
          <w:marBottom w:val="0"/>
          <w:divBdr>
            <w:top w:val="none" w:sz="0" w:space="0" w:color="auto"/>
            <w:left w:val="none" w:sz="0" w:space="0" w:color="auto"/>
            <w:bottom w:val="none" w:sz="0" w:space="0" w:color="auto"/>
            <w:right w:val="none" w:sz="0" w:space="0" w:color="auto"/>
          </w:divBdr>
          <w:divsChild>
            <w:div w:id="1586499455">
              <w:marLeft w:val="0"/>
              <w:marRight w:val="0"/>
              <w:marTop w:val="0"/>
              <w:marBottom w:val="0"/>
              <w:divBdr>
                <w:top w:val="none" w:sz="0" w:space="0" w:color="auto"/>
                <w:left w:val="none" w:sz="0" w:space="0" w:color="auto"/>
                <w:bottom w:val="none" w:sz="0" w:space="0" w:color="auto"/>
                <w:right w:val="none" w:sz="0" w:space="0" w:color="auto"/>
              </w:divBdr>
              <w:divsChild>
                <w:div w:id="1393238194">
                  <w:marLeft w:val="0"/>
                  <w:marRight w:val="0"/>
                  <w:marTop w:val="0"/>
                  <w:marBottom w:val="0"/>
                  <w:divBdr>
                    <w:top w:val="none" w:sz="0" w:space="0" w:color="auto"/>
                    <w:left w:val="none" w:sz="0" w:space="0" w:color="auto"/>
                    <w:bottom w:val="none" w:sz="0" w:space="0" w:color="auto"/>
                    <w:right w:val="none" w:sz="0" w:space="0" w:color="auto"/>
                  </w:divBdr>
                  <w:divsChild>
                    <w:div w:id="535583295">
                      <w:marLeft w:val="180"/>
                      <w:marRight w:val="0"/>
                      <w:marTop w:val="0"/>
                      <w:marBottom w:val="0"/>
                      <w:divBdr>
                        <w:top w:val="none" w:sz="0" w:space="0" w:color="auto"/>
                        <w:left w:val="none" w:sz="0" w:space="0" w:color="auto"/>
                        <w:bottom w:val="none" w:sz="0" w:space="0" w:color="auto"/>
                        <w:right w:val="none" w:sz="0" w:space="0" w:color="auto"/>
                      </w:divBdr>
                      <w:divsChild>
                        <w:div w:id="18797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5815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DB9C5F-5C31-435A-BF87-886987F724A3}">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5125135285"/>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59D69F-EC50-4B06-90E5-267CDE14A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19</Pages>
  <Words>5256</Words>
  <Characters>29963</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Annemarie Maidment</cp:lastModifiedBy>
  <cp:revision>2</cp:revision>
  <dcterms:created xsi:type="dcterms:W3CDTF">2026-02-06T12:54:00Z</dcterms:created>
  <dcterms:modified xsi:type="dcterms:W3CDTF">2026-02-06T12:54:00Z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id="F5TlqwWh"/&gt;&lt;style id="http://www.zotero.org/styles/chicago-shortened-notes-bibliography" locale="en-GB" hasBibliography="1" bibliographyStyleHasBeenSet="0"/&gt;&lt;prefs&gt;&lt;pref name="noteType" value="1"</vt:lpwstr>
  </property>
  <property fmtid="{D5CDD505-2E9C-101B-9397-08002B2CF9AE}" pid="3" name="ZOTERO_PREF_2">
    <vt:lpwstr>/&gt;&lt;pref name="fieldType" value="Field"/&gt;&lt;/prefs&gt;&lt;/data&gt;</vt:lpwstr>
  </property>
  <property fmtid="{D5CDD505-2E9C-101B-9397-08002B2CF9AE}" pid="4" name="GrammarlyDocumentId">
    <vt:lpwstr>4ad4b760-dd39-48bb-a865-03ddf0a96f69</vt:lpwstr>
  </property>
</Properties>
</file>