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Стандарт пакетной подготовки Functional Design для отчётных форм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Рабочая версия для методологов, BA/SA и Tech Lead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Рекомендуемая модель комплекта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формы используется один короткий Functional Design (обычно 5–8 страниц) + исходный Excel-макет. Общие правила не дублируются в каждом документе: они фиксируются один раз в стандарте альбома. В индивидуальном ФД остаются только параметры, разрезы, показатели, формулы, маппинг, контроли и открытые вопросы конкретной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Уровень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Что хранить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Общий стандарт альбома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Термины, правила версий, MTD/YTD/FY, знаки, форматирование, роли, общий Definition of Done.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ФД конкретной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Назначение, параметры, уровень детализации, строки/меры, формулы, mapping, контроли, открытые вопросы.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Excel-макет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Внешний вид, структура строк/колонок, примеры значений.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Техническая постановка BA/SA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Физические поля, меры куба, коды версий, SQL/MDX/DAX, технические ограничения.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Что проверяет Tech Lead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Однозначно ли определён источник каждого показателя?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Понятно ли, где значение формируется: в модели или непосредственно в форме?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Не дублируется ли одна бизнес-метрика разными формулами в разных формах?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Однозначны ли версии, фильтры, временная логика и организационные разрезы?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Есть ли технически проверяемые критерии приёмки?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Все ли TBD действительно требуют решения, а не могут быть закрыты BA/SA без изменения методологии?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Шаблон индивидуального ФД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Обязательное содержание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 Назначение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Для чего используется форма и какой вопрос отвечает.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2. Параметры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Пользовательские параметры, default, допустимые значения.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3. Уровень детализации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Разрезы данных до агрегации и разрез представления.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4. Матрица показателей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Показатель, источник/mapping, где формируется, формула.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5. Временная логика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MTD/YTD/FY/snapshot — только если применимо.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6. Знаки и отклонения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Единая sign convention.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7. Контроли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Проверяемые acceptance criteria.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8. Открытые вопросы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Только реально незакрытые решения.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Формулировки для финального документа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Использовать: «Значение формируется в модели» — показатель поступает в отчёт уже рассчитанным/агрегированным по согласованному маппингу. «Значение рассчитывается в форме» — форма выполняет арифметическую операцию над уже полученными показателями. Не использовать в пользовательском ФД термины semantic layer / report layer без необходимости.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Единые правила квартального и годового бонусов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Если форма содержит компоненты квартального или годового бонуса, индивидуальный ФД не должен выводить их логику из формул Excel-макета. Применяется единая методология альбома: бюджетные выплаты распределяются по периодам по квартальному/годовому принципу, фактические выплаты относятся к периоду начисления, начисления в ДРП повторяют соответствующие бюджетные значения, а сторно формируется при наличии фактической выплаты.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ФД/Finance: суммы компонентов переносятся из соответствующих версий и периодов согласно мэппингу без дополнительного перерасчёта формы.</w:t>
      </w:r>
    </w:p>
    <w:p>
      <w:pPr>
        <w:pStyle w:val="Heading1"/>
        <w:spacing w:after="0"/>
        <w:rPr/>
      </w:pPr>
      <w:r>
        <w:rPr>
          <w:rFonts w:ascii="Aptos" w:hAnsi="Aptos"/>
        </w:rPr>
        <w:t>6. Дополнительные иерархии HC Tracker Cube</w:t>
      </w:r>
    </w:p>
    <w:p>
      <w:pPr>
        <w:pStyle w:val="Normal"/>
        <w:spacing w:after="0"/>
        <w:rPr/>
      </w:pPr>
      <w:r>
        <w:rPr>
          <w:rFonts w:ascii="Aptos" w:hAnsi="Aptos"/>
        </w:rPr>
        <w:t>Для отчётных форм HC Tracker Cube организационные строки не должны определяться напрямую только исходным MIR Code или Global Department. Используются два управляемых справочника мэппинга: Mapping_MIR — для финансовой/кост-центровой иерархии; Mapping_GD — для функциональной иерархии Global Departments.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Иерархия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Исходный ключ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Целевые уровни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Особенность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MIR structure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MIR Code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MIR_Function_Level_1 / 2 / 3; MIR_Business_Level_1 / 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Смешанная иерархия: до базового MIR-мэппинга применяются специальные правила FTA &amp; Elevate Prog, Research и Quota Job.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Global Departments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Global Department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GD_Function_Level_1 / 2; GD_Business_Level_1 / 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Функциональная структура; классификация выполняется по Mapping_GD.</w:t>
            </w:r>
          </w:p>
        </w:tc>
      </w:tr>
    </w:tbl>
    <w:p>
      <w:pPr>
        <w:pStyle w:val="Normal"/>
        <w:spacing w:after="0"/>
        <w:rPr/>
      </w:pPr>
      <w:r>
        <w:rPr>
          <w:rFonts w:ascii="Aptos" w:hAnsi="Aptos"/>
        </w:rPr>
        <w:t>Специальные правила MIR structure: (1) Global Department = FTA &amp; Elevate Prog → отдельная строка независимо от MIR Code; (2) Global Department = Research → отдельная строка независимо от MIR Code; (3) MIR Code = GCEO и Disability flag из 1С = Yes → отдельная строка Quota Job; (4) остальные записи → Mapping_MIR.</w:t>
      </w:r>
    </w:p>
    <w:p>
      <w:pPr>
        <w:pStyle w:val="Normal"/>
        <w:spacing w:after="0"/>
        <w:rPr/>
      </w:pPr>
      <w:r>
        <w:rPr>
          <w:rFonts w:ascii="Aptos" w:hAnsi="Aptos"/>
        </w:rPr>
        <w:t>Обязательный технический принцип: специальные правила классификации применяются до обычного MIR-мэппинга; один объект HC должен быть отнесён ровно к одной конечной строке отчётной иерархии. При пересечении специальных правил приоритет должен быть явно согласован и не может определяться разработчиком самостоятельно.</w:t>
      </w:r>
    </w:p>
    <w:p>
      <w:pPr>
        <w:pStyle w:val="Heading1"/>
        <w:spacing w:after="0"/>
        <w:rPr/>
      </w:pPr>
      <w:r>
        <w:rPr>
          <w:rFonts w:ascii="Aptos" w:hAnsi="Aptos"/>
        </w:rPr>
        <w:t>Правила динамического представления организационных разрезов</w:t>
      </w:r>
    </w:p>
    <w:p>
      <w:pPr>
        <w:pStyle w:val="Normal"/>
        <w:spacing w:after="0"/>
        <w:rPr/>
      </w:pPr>
      <w:r>
        <w:rPr>
          <w:rFonts w:ascii="Aptos" w:hAnsi="Aptos"/>
        </w:rPr>
        <w:t>Форма 1: при множественном выборе юридических лиц каждый выбранный элемент выводится отдельным блоком колонок; блоки группируются по категории «Новый периметр» / «Старый периметр» согласно справочнику принадлежности юридических лиц к периметрам.</w:t>
      </w:r>
    </w:p>
    <w:p>
      <w:pPr>
        <w:pStyle w:val="Normal"/>
        <w:spacing w:after="0"/>
        <w:rPr/>
      </w:pPr>
      <w:r>
        <w:rPr>
          <w:rFonts w:ascii="Aptos" w:hAnsi="Aptos"/>
        </w:rPr>
        <w:t>Форма 2: при множественном выборе Global Unit каждый выбранный элемент MIR-структуры выводится отдельным блоком колонок справа. Несколько выбранных юридических лиц суммируются внутри каждого блока.</w:t>
      </w:r>
    </w:p>
    <w:p>
      <w:pPr>
        <w:pStyle w:val="Normal"/>
        <w:spacing w:after="0"/>
        <w:rPr/>
      </w:pPr>
      <w:r>
        <w:rPr>
          <w:rFonts w:ascii="Aptos" w:hAnsi="Aptos"/>
        </w:rPr>
        <w:t>Форма 3: при множественном выборе Global Departments либо группировок Business / Infrastructure каждый выбранный элемент выводится отдельным блоком колонок справа. Несколько выбранных юридических лиц суммируются внутри каждого блока.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  <w:t>Множественный выбор организационных элементов не должен приводить к изменению бизнес-формул показателей; меняется только состав повторяющихся блоков представления и область агрегации.</w:t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2</Pages>
  <Words>654</Words>
  <Characters>4579</Characters>
  <CharactersWithSpaces>5165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