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/>
      </w:pPr>
      <w:r>
        <w:rPr>
          <w:rFonts w:ascii="Aptos" w:hAnsi="Aptos"/>
        </w:rPr>
        <w:t>Правила формирования дополнительных иерархий HC Tracker Cube</w:t>
      </w:r>
    </w:p>
    <w:p>
      <w:pPr>
        <w:pStyle w:val="Normal"/>
        <w:spacing w:after="0"/>
        <w:rPr/>
      </w:pPr>
      <w:r>
        <w:rPr>
          <w:rFonts w:ascii="Aptos" w:hAnsi="Aptos"/>
        </w:rPr>
        <w:t>Приложение к функциональным дизайнам отчётных форм HC Tracker. Версия 1.0 — первая версия для технического ревью.</w:t>
      </w:r>
    </w:p>
    <w:p>
      <w:pPr>
        <w:pStyle w:val="Heading1"/>
        <w:spacing w:after="0"/>
        <w:rPr/>
      </w:pPr>
      <w:r>
        <w:rPr>
          <w:rFonts w:ascii="Aptos" w:hAnsi="Aptos"/>
        </w:rPr>
        <w:t>1. Назначение</w:t>
      </w:r>
    </w:p>
    <w:p>
      <w:pPr>
        <w:pStyle w:val="Normal"/>
        <w:spacing w:after="0"/>
        <w:rPr/>
      </w:pPr>
      <w:r>
        <w:rPr>
          <w:rFonts w:ascii="Aptos" w:hAnsi="Aptos"/>
        </w:rPr>
        <w:t>Документ определяет единые правила формирования двух дополнительных отчётных иерархий HC Tracker Cube: финансовой структуры кост-центров (MIR structure) и функциональной структуры глобальных департаментов (Global Departments). Правила используются всеми отчётами HC Tracker, в которых применяются соответствующие иерархии.</w:t>
      </w:r>
    </w:p>
    <w:p>
      <w:pPr>
        <w:pStyle w:val="Heading1"/>
        <w:spacing w:after="0"/>
        <w:rPr/>
      </w:pPr>
      <w:r>
        <w:rPr>
          <w:rFonts w:ascii="Aptos" w:hAnsi="Aptos"/>
        </w:rPr>
        <w:t>2. Функциональная иерархия Global Departments</w:t>
      </w:r>
    </w:p>
    <w:p>
      <w:pPr>
        <w:pStyle w:val="Normal"/>
        <w:spacing w:after="0"/>
        <w:rPr/>
      </w:pPr>
      <w:r>
        <w:rPr>
          <w:rFonts w:ascii="Aptos" w:hAnsi="Aptos"/>
        </w:rPr>
        <w:t>Исходный ключ — Global Department. Мэппинг выполняется по листу Mapping_GD файла «Справочник_дополнительных_иерархий_HC_Tracker.xlsx».</w:t>
      </w:r>
    </w:p>
    <w:tbl>
      <w:tblPr>
        <w:tblW w:w="1020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0"/>
        <w:gridCol w:w="510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Исходное поле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Целевые поля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Global Department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GD_Function_Level_1; GD_Function_level_2; GD_Business_Level_1; GD_Business_Level_2</w:t>
            </w:r>
          </w:p>
        </w:tc>
      </w:tr>
    </w:tbl>
    <w:p>
      <w:pPr>
        <w:pStyle w:val="Heading1"/>
        <w:spacing w:after="0"/>
        <w:rPr/>
      </w:pPr>
      <w:r>
        <w:rPr>
          <w:rFonts w:ascii="Aptos" w:hAnsi="Aptos"/>
        </w:rPr>
        <w:t>3. Смешанная финансовая иерархия MIR structure</w:t>
      </w:r>
    </w:p>
    <w:p>
      <w:pPr>
        <w:pStyle w:val="Normal"/>
        <w:spacing w:after="0"/>
        <w:rPr/>
      </w:pPr>
      <w:r>
        <w:rPr>
          <w:rFonts w:ascii="Aptos" w:hAnsi="Aptos"/>
        </w:rPr>
        <w:t>Базовый ключ — MIR Code, мэппинг — лист Mapping_MIR. Иерархия является смешанной: часть сотрудников выделяется по атрибутам функциональной структуры или кадровому признаку и поэтому не следует обычному MIR-мэппингу.</w:t>
      </w:r>
    </w:p>
    <w:tbl>
      <w:tblPr>
        <w:tblW w:w="1020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Шаг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Классификация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Global Department = FTA &amp; Elevate Prog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Отдельная строка «FTA &amp; Elevate Prog», MIR Code не используется для выбора строки.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Global Department = Research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Отдельная строка «Research», MIR Code не используется для выбора строки.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MIR Code = GCEO AND Disability flag (1С) = Yes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Отдельная строка «Quota Job».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Иначе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Классификация по Mapping_MIR.</w:t>
            </w:r>
          </w:p>
        </w:tc>
      </w:tr>
    </w:tbl>
    <w:p>
      <w:pPr>
        <w:pStyle w:val="Normal"/>
        <w:spacing w:after="0"/>
        <w:rPr/>
      </w:pPr>
      <w:r>
        <w:rPr>
          <w:rFonts w:ascii="Aptos" w:hAnsi="Aptos"/>
        </w:rPr>
        <w:t>Целевые поля Mapping_MIR: MIR_Function_Level_1; MIR_Function_level_2; MIR_Function_Level_3; MIR_Business_Level_1; MIR_Business_Level_2.</w:t>
      </w:r>
    </w:p>
    <w:p>
      <w:pPr>
        <w:pStyle w:val="Heading1"/>
        <w:spacing w:after="0"/>
        <w:rPr/>
      </w:pPr>
      <w:r>
        <w:rPr>
          <w:rFonts w:ascii="Aptos" w:hAnsi="Aptos"/>
        </w:rPr>
        <w:t>4. Псевдологика классификации</w:t>
      </w:r>
    </w:p>
    <w:p>
      <w:pPr>
        <w:pStyle w:val="Normal"/>
        <w:spacing w:after="0"/>
        <w:rPr/>
      </w:pPr>
      <w:r>
        <w:rPr>
          <w:rFonts w:ascii="Aptos" w:hAnsi="Aptos"/>
        </w:rPr>
        <w:t>Для каждой записи HC система определяет отчётную строку один раз. Сначала проверяются специальные условия, затем — стандартный мэппинг. Конкретный приоритет между несколькими одновременно выполненными специальными условиями должен быть согласован отдельно; до этого разработчик не должен задавать его самостоятельно.</w:t>
      </w:r>
    </w:p>
    <w:p>
      <w:pPr>
        <w:pStyle w:val="Heading1"/>
        <w:spacing w:after="0"/>
        <w:rPr/>
      </w:pPr>
      <w:r>
        <w:rPr>
          <w:rFonts w:ascii="Aptos" w:hAnsi="Aptos"/>
        </w:rPr>
        <w:t>5. Контроли качества</w:t>
      </w:r>
    </w:p>
    <w:p>
      <w:pPr>
        <w:pStyle w:val="ListBullet"/>
        <w:numPr>
          <w:ilvl w:val="0"/>
          <w:numId w:val="2"/>
        </w:numPr>
        <w:spacing w:after="0"/>
        <w:rPr/>
      </w:pPr>
      <w:r>
        <w:rPr>
          <w:rFonts w:ascii="Aptos" w:hAnsi="Aptos"/>
        </w:rPr>
        <w:t>Отсутствуют дубли: один объект HC не включается одновременно в специальную строку и в строку Mapping_MIR.</w:t>
      </w:r>
    </w:p>
    <w:p>
      <w:pPr>
        <w:pStyle w:val="ListBullet"/>
        <w:numPr>
          <w:ilvl w:val="0"/>
          <w:numId w:val="2"/>
        </w:numPr>
        <w:spacing w:after="0"/>
        <w:rPr/>
      </w:pPr>
      <w:r>
        <w:rPr>
          <w:rFonts w:ascii="Aptos" w:hAnsi="Aptos"/>
        </w:rPr>
        <w:t>Контрольный итог HC после классификации равен итогу до классификации для одинакового набора фильтров.</w:t>
      </w:r>
    </w:p>
    <w:p>
      <w:pPr>
        <w:pStyle w:val="ListBullet"/>
        <w:numPr>
          <w:ilvl w:val="0"/>
          <w:numId w:val="2"/>
        </w:numPr>
        <w:spacing w:after="0"/>
        <w:rPr/>
      </w:pPr>
      <w:r>
        <w:rPr>
          <w:rFonts w:ascii="Aptos" w:hAnsi="Aptos"/>
        </w:rPr>
        <w:t>Все значения MIR Code и Global Department, отсутствующие в справочнике, попадают в контроль непромаппированных значений.</w:t>
      </w:r>
    </w:p>
    <w:p>
      <w:pPr>
        <w:pStyle w:val="ListBullet"/>
        <w:numPr>
          <w:ilvl w:val="0"/>
          <w:numId w:val="2"/>
        </w:numPr>
        <w:spacing w:after="0"/>
        <w:rPr/>
      </w:pPr>
      <w:r>
        <w:rPr>
          <w:rFonts w:ascii="Aptos" w:hAnsi="Aptos"/>
        </w:rPr>
        <w:t>Изменение справочника мэппинга должно применяться централизованно ко всем формам, использующим соответствующую иерархию.</w:t>
      </w:r>
    </w:p>
    <w:p>
      <w:pPr>
        <w:pStyle w:val="Heading1"/>
        <w:spacing w:after="0"/>
        <w:rPr/>
      </w:pPr>
      <w:r>
        <w:rPr>
          <w:rFonts w:ascii="Aptos" w:hAnsi="Aptos"/>
        </w:rPr>
        <w:t>6. Открытые вопросы</w:t>
      </w:r>
    </w:p>
    <w:tbl>
      <w:tblPr>
        <w:tblW w:w="1020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Cambria" w:hAnsi="Cambria" w:eastAsia="ＭＳ 明朝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Почему необходимо решение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H-01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Каков приоритет, если сотрудник одновременно удовлетворяет двум специальным правилам (например, Quota Job и FTA &amp; Elevate Prog / Research)?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Нужно обеспечить единственную классификацию без двойного счёта.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H-02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 отображать непромаппированные MIR Code / Global Department: отдельная строка Unmapped, ошибка или блокировка публикации?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поведение отчёта и контроль качества данных.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H-03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Применяются ли специальные правила только к employee или также к vacancy, если соответствующие атрибуты доступны?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единый алгоритм для HC status.</w:t>
            </w:r>
          </w:p>
        </w:tc>
      </w:tr>
    </w:tbl>
    <w:p>
      <w:pPr>
        <w:pStyle w:val="Heading1"/>
        <w:spacing w:after="0"/>
        <w:rPr/>
      </w:pPr>
      <w:r>
        <w:rPr>
          <w:rFonts w:ascii="Aptos" w:hAnsi="Aptos"/>
        </w:rPr>
        <w:t>Область применения классификации</w:t>
      </w:r>
    </w:p>
    <w:p>
      <w:pPr>
        <w:pStyle w:val="Normal"/>
        <w:spacing w:after="0"/>
        <w:rPr/>
      </w:pPr>
      <w:r>
        <w:rPr>
          <w:rFonts w:ascii="Aptos" w:hAnsi="Aptos"/>
        </w:rPr>
        <w:t>Правила формирования дополнительных иерархий применяются ко всей HC-популяции независимо от значения HC Status: employee или vacancy.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  <w:t>Для специальных категорий FTA &amp; Elevate Prog и Research используется Global Department объекта HC. Для Quota Job условие MIR Code = GCEO и Disability Flag = Yes применяется к employee и vacancy при наличии соответствующих атрибутов. Отсутствие необходимого атрибута не интерпретируется как выполнение специального условия; объект проверяется по следующему правилу классификации.</w:t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Aptos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</Pages>
  <Words>436</Words>
  <Characters>3134</Characters>
  <CharactersWithSpaces>3520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