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numPr>
          <w:ilvl w:val="0"/>
          <w:numId w:val="0"/>
        </w:numPr>
        <w:shd w:fill="FFFFFF" w:val="clear"/>
        <w:spacing w:lineRule="atLeast" w:line="420" w:before="360" w:after="120"/>
        <w:outlineLvl w:val="1"/>
        <w:rPr>
          <w:rFonts w:ascii="Arial" w:hAnsi="Arial" w:eastAsia="Times New Roman" w:cs="Arial"/>
          <w:b/>
          <w:bCs/>
          <w:sz w:val="30"/>
          <w:szCs w:val="30"/>
          <w:lang w:val="ru-RU" w:eastAsia="ru-RU"/>
        </w:rPr>
      </w:pPr>
      <w:r>
        <w:rPr>
          <w:rFonts w:eastAsia="Times New Roman" w:cs="Arial" w:ascii="Aptos" w:hAnsi="Aptos"/>
          <w:b/>
          <w:bCs/>
          <w:sz w:val="30"/>
          <w:szCs w:val="30"/>
          <w:lang w:val="ru-RU" w:eastAsia="ru-RU"/>
        </w:rPr>
        <w:t>Методология расчета квартального бонуса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420" w:before="360" w:after="120"/>
        <w:outlineLvl w:val="1"/>
        <w:rPr>
          <w:rFonts w:ascii="Arial" w:hAnsi="Arial" w:eastAsia="Times New Roman" w:cs="Arial"/>
          <w:b/>
          <w:bCs/>
          <w:sz w:val="30"/>
          <w:szCs w:val="30"/>
          <w:lang w:val="ru-RU" w:eastAsia="ru-RU"/>
        </w:rPr>
      </w:pPr>
      <w:r>
        <w:rPr>
          <w:rFonts w:eastAsia="Times New Roman" w:cs="Arial" w:ascii="Aptos" w:hAnsi="Aptos"/>
          <w:b/>
          <w:bCs/>
          <w:sz w:val="30"/>
          <w:szCs w:val="30"/>
          <w:lang w:val="ru-RU" w:eastAsia="ru-RU"/>
        </w:rPr>
        <w:t>Раздел «ДРП/HR»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420" w:before="300" w:after="120"/>
        <w:outlineLvl w:val="2"/>
        <w:rPr>
          <w:rFonts w:ascii="Arial" w:hAnsi="Arial" w:eastAsia="Times New Roman" w:cs="Arial"/>
          <w:b/>
          <w:bCs/>
          <w:sz w:val="27"/>
          <w:szCs w:val="27"/>
          <w:lang w:val="ru-RU" w:eastAsia="ru-RU"/>
        </w:rPr>
      </w:pPr>
      <w:r>
        <w:rPr>
          <w:rFonts w:eastAsia="Times New Roman" w:cs="Arial" w:ascii="Aptos" w:hAnsi="Aptos"/>
          <w:b/>
          <w:bCs/>
          <w:sz w:val="27"/>
          <w:szCs w:val="27"/>
          <w:lang w:val="ru-RU" w:eastAsia="ru-RU"/>
        </w:rPr>
        <w:t>1. Версия «Бюджет»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360" w:before="300" w:after="60"/>
        <w:outlineLvl w:val="3"/>
        <w:rPr>
          <w:rFonts w:ascii="Arial" w:hAnsi="Arial" w:eastAsia="Times New Roman" w:cs="Arial"/>
          <w:b/>
          <w:bCs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1.1. Период: текущий месяц (MTD)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Статьи, рассчитываемые по квартальному принципу: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Для</w:t>
      </w:r>
      <w:r>
        <w:rPr>
          <w:rFonts w:eastAsia="Times New Roman" w:cs="Arial" w:ascii="Aptos" w:hAnsi="Aptos"/>
          <w:sz w:val="24"/>
          <w:szCs w:val="24"/>
          <w:lang w:eastAsia="ru-RU"/>
        </w:rPr>
        <w:t xml:space="preserve"> 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статей</w:t>
      </w:r>
      <w:r>
        <w:rPr>
          <w:rFonts w:eastAsia="Times New Roman" w:cs="Arial" w:ascii="Aptos" w:hAnsi="Aptos"/>
          <w:sz w:val="24"/>
          <w:szCs w:val="24"/>
          <w:lang w:eastAsia="ru-RU"/>
        </w:rPr>
        <w:t> </w:t>
      </w:r>
      <w:r>
        <w:rPr>
          <w:rFonts w:eastAsia="Times New Roman" w:cs="Arial" w:ascii="Aptos" w:hAnsi="Aptos"/>
          <w:b/>
          <w:bCs/>
          <w:sz w:val="24"/>
          <w:szCs w:val="24"/>
          <w:lang w:eastAsia="ru-RU"/>
        </w:rPr>
        <w:t>Quarterly bonus cash</w:t>
      </w:r>
      <w:r>
        <w:rPr>
          <w:rFonts w:eastAsia="Times New Roman" w:cs="Arial" w:ascii="Aptos" w:hAnsi="Aptos"/>
          <w:sz w:val="24"/>
          <w:szCs w:val="24"/>
          <w:lang w:eastAsia="ru-RU"/>
        </w:rPr>
        <w:t> 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и</w:t>
      </w:r>
      <w:r>
        <w:rPr>
          <w:rFonts w:eastAsia="Times New Roman" w:cs="Arial" w:ascii="Aptos" w:hAnsi="Aptos"/>
          <w:sz w:val="24"/>
          <w:szCs w:val="24"/>
          <w:lang w:eastAsia="ru-RU"/>
        </w:rPr>
        <w:t> </w:t>
      </w:r>
      <w:r>
        <w:rPr>
          <w:rFonts w:eastAsia="Times New Roman" w:cs="Arial" w:ascii="Aptos" w:hAnsi="Aptos"/>
          <w:b/>
          <w:bCs/>
          <w:sz w:val="24"/>
          <w:szCs w:val="24"/>
          <w:lang w:eastAsia="ru-RU"/>
        </w:rPr>
        <w:t>Social Security on quarterly cash</w:t>
      </w:r>
      <w:r>
        <w:rPr>
          <w:rFonts w:eastAsia="Times New Roman" w:cs="Arial" w:ascii="Aptos" w:hAnsi="Aptos"/>
          <w:sz w:val="24"/>
          <w:szCs w:val="24"/>
          <w:lang w:eastAsia="ru-RU"/>
        </w:rPr>
        <w:t> 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расчёт</w:t>
      </w:r>
      <w:r>
        <w:rPr>
          <w:rFonts w:eastAsia="Times New Roman" w:cs="Arial" w:ascii="Aptos" w:hAnsi="Aptos"/>
          <w:sz w:val="24"/>
          <w:szCs w:val="24"/>
          <w:lang w:eastAsia="ru-RU"/>
        </w:rPr>
        <w:t xml:space="preserve"> 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производится</w:t>
      </w:r>
      <w:r>
        <w:rPr>
          <w:rFonts w:eastAsia="Times New Roman" w:cs="Arial" w:ascii="Aptos" w:hAnsi="Aptos"/>
          <w:sz w:val="24"/>
          <w:szCs w:val="24"/>
          <w:lang w:eastAsia="ru-RU"/>
        </w:rPr>
        <w:t xml:space="preserve"> 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одинаково</w:t>
      </w:r>
      <w:r>
        <w:rPr>
          <w:rFonts w:eastAsia="Times New Roman" w:cs="Arial" w:ascii="Aptos" w:hAnsi="Aptos"/>
          <w:sz w:val="24"/>
          <w:szCs w:val="24"/>
          <w:lang w:eastAsia="ru-RU"/>
        </w:rPr>
        <w:t>:</w:t>
      </w:r>
    </w:p>
    <w:p>
      <w:pPr>
        <w:pStyle w:val="Normal"/>
        <w:numPr>
          <w:ilvl w:val="0"/>
          <w:numId w:val="2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Определить квартал, в который входит выбранный месяц.</w:t>
      </w:r>
    </w:p>
    <w:p>
      <w:pPr>
        <w:pStyle w:val="Normal"/>
        <w:numPr>
          <w:ilvl w:val="0"/>
          <w:numId w:val="2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Взять расчётное значение по статье из последнего месяца этого квартала.</w:t>
      </w:r>
    </w:p>
    <w:p>
      <w:pPr>
        <w:pStyle w:val="Normal"/>
        <w:numPr>
          <w:ilvl w:val="0"/>
          <w:numId w:val="2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Разделить на 3 — это и есть значение для выбранного месяца.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Статьи, всегда равные нулю в версии «Бюджет»:</w:t>
      </w:r>
    </w:p>
    <w:p>
      <w:pPr>
        <w:pStyle w:val="Normal"/>
        <w:numPr>
          <w:ilvl w:val="0"/>
          <w:numId w:val="3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Accruals for Quarterly bonus</w:t>
      </w:r>
    </w:p>
    <w:p>
      <w:pPr>
        <w:pStyle w:val="Normal"/>
        <w:numPr>
          <w:ilvl w:val="0"/>
          <w:numId w:val="3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ptos" w:hAnsi="Aptos"/>
          <w:sz w:val="24"/>
          <w:szCs w:val="24"/>
          <w:lang w:eastAsia="ru-RU"/>
        </w:rPr>
        <w:t>Social Security on Accruals for Quarterly bonus</w:t>
      </w:r>
    </w:p>
    <w:p>
      <w:pPr>
        <w:pStyle w:val="Normal"/>
        <w:numPr>
          <w:ilvl w:val="0"/>
          <w:numId w:val="3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Reverse Accruals for Quarterly bonus</w:t>
      </w:r>
    </w:p>
    <w:p>
      <w:pPr>
        <w:pStyle w:val="Normal"/>
        <w:numPr>
          <w:ilvl w:val="0"/>
          <w:numId w:val="3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ptos" w:hAnsi="Aptos"/>
          <w:sz w:val="24"/>
          <w:szCs w:val="24"/>
          <w:lang w:eastAsia="ru-RU"/>
        </w:rPr>
        <w:t>Social Security on Reverse Accruals for Quarterly bonus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360" w:before="300" w:after="60"/>
        <w:outlineLvl w:val="3"/>
        <w:rPr>
          <w:rFonts w:ascii="Arial" w:hAnsi="Arial" w:eastAsia="Times New Roman" w:cs="Arial"/>
          <w:b/>
          <w:bCs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1.2. Период: нарастающий итог с начала года (YTD)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Значение YTD =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сумма значений по всем полным закрытым кварталам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 +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доля начисления за текущий (незакрытый) квартал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.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Доля зависит от порядкового номера месяца внутри квартала:</w:t>
      </w:r>
    </w:p>
    <w:tbl>
      <w:tblPr>
        <w:tblW w:w="11100" w:type="dxa"/>
        <w:jc w:val="center"/>
        <w:tblInd w:w="0" w:type="dxa"/>
        <w:tblLayout w:type="autofit"/>
        <w:tblCellMar>
          <w:top w:w="120" w:type="dxa"/>
          <w:start w:w="0" w:type="dxa"/>
          <w:bottom w:w="120" w:type="dxa"/>
          <w:end w:w="360" w:type="dxa"/>
        </w:tblCellMar>
      </w:tblPr>
      <w:tblGrid>
        <w:gridCol w:w="3968"/>
        <w:gridCol w:w="7132"/>
      </w:tblGrid>
      <w:tr>
        <w:trPr>
          <w:tblHeader w:val="true"/>
          <w:cantSplit/>
        </w:trPr>
        <w:tc>
          <w:tcPr>
            <w:tcW w:w="0" w:type="auto"/>
            <w:tcBorders/>
            <w:shd w:fill="FFFFFF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spacing w:lineRule="auto" w:line="240" w:before="0" w:after="20"/>
              <w:rPr>
                <w:rFonts w:ascii="Arial" w:hAnsi="Arial" w:eastAsia="Times New Roman" w:cs="Arial"/>
                <w:sz w:val="21"/>
                <w:szCs w:val="21"/>
                <w:lang w:val="ru-RU" w:eastAsia="ru-RU"/>
              </w:rPr>
            </w:pPr>
            <w:r>
              <w:rPr>
                <w:rFonts w:eastAsia="Times New Roman" w:cs="Arial" w:ascii="Aptos" w:hAnsi="Aptos"/>
                <w:sz w:val="15"/>
                <w:szCs w:val="21"/>
                <w:lang w:val="ru-RU" w:eastAsia="ru-RU"/>
              </w:rPr>
              <w:t>Месяц в квартале</w:t>
            </w:r>
          </w:p>
        </w:tc>
        <w:tc>
          <w:tcPr>
            <w:tcW w:w="0" w:type="auto"/>
            <w:tcBorders/>
            <w:shd w:fill="FFFFFF" w:val="clear"/>
            <w:tcMar>
              <w:start w:w="70" w:type="dxa"/>
              <w:top w:w="60" w:type="dxa"/>
              <w:bottom w:w="60" w:type="dxa"/>
              <w:end w:w="70" w:type="dxa"/>
            </w:tcMar>
            <w:vAlign w:val="center"/>
          </w:tcPr>
          <w:p>
            <w:pPr>
              <w:pStyle w:val="Normal"/>
              <w:spacing w:lineRule="auto" w:line="240" w:before="0" w:after="20"/>
              <w:rPr>
                <w:rFonts w:ascii="Arial" w:hAnsi="Arial" w:eastAsia="Times New Roman" w:cs="Arial"/>
                <w:sz w:val="21"/>
                <w:szCs w:val="21"/>
                <w:lang w:val="ru-RU" w:eastAsia="ru-RU"/>
              </w:rPr>
            </w:pPr>
            <w:r>
              <w:rPr>
                <w:rFonts w:eastAsia="Times New Roman" w:cs="Arial" w:ascii="Aptos" w:hAnsi="Aptos"/>
                <w:sz w:val="15"/>
                <w:szCs w:val="21"/>
                <w:lang w:val="ru-RU" w:eastAsia="ru-RU"/>
              </w:rPr>
              <w:t>Доля квартального начисления</w:t>
            </w:r>
          </w:p>
        </w:tc>
      </w:tr>
      <w:tr>
        <w:trPr>
          <w:cantSplit/>
        </w:trPr>
        <w:tc>
          <w:tcPr>
            <w:tcW w:w="0" w:type="auto"/>
            <w:tcBorders/>
            <w:shd w:fill="FFFFFF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spacing w:lineRule="auto" w:line="240" w:before="0" w:after="20"/>
              <w:rPr>
                <w:rFonts w:ascii="Arial" w:hAnsi="Arial" w:eastAsia="Times New Roman" w:cs="Arial"/>
                <w:sz w:val="21"/>
                <w:szCs w:val="21"/>
                <w:lang w:val="ru-RU" w:eastAsia="ru-RU"/>
              </w:rPr>
            </w:pPr>
            <w:r>
              <w:rPr>
                <w:rFonts w:eastAsia="Times New Roman" w:cs="Arial" w:ascii="Aptos" w:hAnsi="Aptos"/>
                <w:sz w:val="15"/>
                <w:szCs w:val="21"/>
                <w:lang w:val="ru-RU" w:eastAsia="ru-RU"/>
              </w:rPr>
              <w:t>Первый</w:t>
            </w:r>
          </w:p>
        </w:tc>
        <w:tc>
          <w:tcPr>
            <w:tcW w:w="0" w:type="auto"/>
            <w:tcBorders/>
            <w:shd w:fill="FFFFFF" w:val="clear"/>
            <w:tcMar>
              <w:start w:w="70" w:type="dxa"/>
              <w:top w:w="60" w:type="dxa"/>
              <w:bottom w:w="60" w:type="dxa"/>
              <w:end w:w="70" w:type="dxa"/>
            </w:tcMar>
            <w:vAlign w:val="center"/>
          </w:tcPr>
          <w:p>
            <w:pPr>
              <w:pStyle w:val="Normal"/>
              <w:spacing w:lineRule="auto" w:line="240" w:before="0" w:after="20"/>
              <w:rPr>
                <w:rFonts w:ascii="Arial" w:hAnsi="Arial" w:eastAsia="Times New Roman" w:cs="Arial"/>
                <w:sz w:val="21"/>
                <w:szCs w:val="21"/>
                <w:lang w:val="ru-RU" w:eastAsia="ru-RU"/>
              </w:rPr>
            </w:pPr>
            <w:r>
              <w:rPr>
                <w:rFonts w:eastAsia="Times New Roman" w:cs="Arial" w:ascii="Aptos" w:hAnsi="Aptos"/>
                <w:sz w:val="15"/>
                <w:szCs w:val="21"/>
                <w:lang w:val="ru-RU" w:eastAsia="ru-RU"/>
              </w:rPr>
              <w:t>1/3</w:t>
            </w:r>
          </w:p>
        </w:tc>
      </w:tr>
      <w:tr>
        <w:trPr>
          <w:cantSplit/>
        </w:trPr>
        <w:tc>
          <w:tcPr>
            <w:tcW w:w="0" w:type="auto"/>
            <w:tcBorders/>
            <w:shd w:fill="FFFFFF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spacing w:lineRule="auto" w:line="240" w:before="0" w:after="20"/>
              <w:rPr>
                <w:rFonts w:ascii="Arial" w:hAnsi="Arial" w:eastAsia="Times New Roman" w:cs="Arial"/>
                <w:sz w:val="21"/>
                <w:szCs w:val="21"/>
                <w:lang w:val="ru-RU" w:eastAsia="ru-RU"/>
              </w:rPr>
            </w:pPr>
            <w:r>
              <w:rPr>
                <w:rFonts w:eastAsia="Times New Roman" w:cs="Arial" w:ascii="Aptos" w:hAnsi="Aptos"/>
                <w:sz w:val="15"/>
                <w:szCs w:val="21"/>
                <w:lang w:val="ru-RU" w:eastAsia="ru-RU"/>
              </w:rPr>
              <w:t>Второй</w:t>
            </w:r>
          </w:p>
        </w:tc>
        <w:tc>
          <w:tcPr>
            <w:tcW w:w="0" w:type="auto"/>
            <w:tcBorders/>
            <w:shd w:fill="FFFFFF" w:val="clear"/>
            <w:tcMar>
              <w:start w:w="70" w:type="dxa"/>
              <w:top w:w="60" w:type="dxa"/>
              <w:bottom w:w="60" w:type="dxa"/>
              <w:end w:w="70" w:type="dxa"/>
            </w:tcMar>
            <w:vAlign w:val="center"/>
          </w:tcPr>
          <w:p>
            <w:pPr>
              <w:pStyle w:val="Normal"/>
              <w:spacing w:lineRule="auto" w:line="240" w:before="0" w:after="20"/>
              <w:rPr>
                <w:rFonts w:ascii="Arial" w:hAnsi="Arial" w:eastAsia="Times New Roman" w:cs="Arial"/>
                <w:sz w:val="21"/>
                <w:szCs w:val="21"/>
                <w:lang w:val="ru-RU" w:eastAsia="ru-RU"/>
              </w:rPr>
            </w:pPr>
            <w:r>
              <w:rPr>
                <w:rFonts w:eastAsia="Times New Roman" w:cs="Arial" w:ascii="Aptos" w:hAnsi="Aptos"/>
                <w:sz w:val="15"/>
                <w:szCs w:val="21"/>
                <w:lang w:val="ru-RU" w:eastAsia="ru-RU"/>
              </w:rPr>
              <w:t>2/3</w:t>
            </w:r>
          </w:p>
        </w:tc>
      </w:tr>
      <w:tr>
        <w:trPr>
          <w:cantSplit/>
        </w:trPr>
        <w:tc>
          <w:tcPr>
            <w:tcW w:w="0" w:type="auto"/>
            <w:tcBorders/>
            <w:shd w:fill="FFFFFF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spacing w:lineRule="auto" w:line="240" w:before="0" w:after="20"/>
              <w:rPr>
                <w:rFonts w:ascii="Arial" w:hAnsi="Arial" w:eastAsia="Times New Roman" w:cs="Arial"/>
                <w:sz w:val="21"/>
                <w:szCs w:val="21"/>
                <w:lang w:val="ru-RU" w:eastAsia="ru-RU"/>
              </w:rPr>
            </w:pPr>
            <w:r>
              <w:rPr>
                <w:rFonts w:eastAsia="Times New Roman" w:cs="Arial" w:ascii="Aptos" w:hAnsi="Aptos"/>
                <w:sz w:val="15"/>
                <w:szCs w:val="21"/>
                <w:lang w:val="ru-RU" w:eastAsia="ru-RU"/>
              </w:rPr>
              <w:t>Третий</w:t>
            </w:r>
          </w:p>
        </w:tc>
        <w:tc>
          <w:tcPr>
            <w:tcW w:w="0" w:type="auto"/>
            <w:tcBorders/>
            <w:shd w:fill="FFFFFF" w:val="clear"/>
            <w:tcMar>
              <w:start w:w="70" w:type="dxa"/>
              <w:top w:w="60" w:type="dxa"/>
              <w:bottom w:w="60" w:type="dxa"/>
              <w:end w:w="70" w:type="dxa"/>
            </w:tcMar>
            <w:vAlign w:val="center"/>
          </w:tcPr>
          <w:p>
            <w:pPr>
              <w:pStyle w:val="Normal"/>
              <w:spacing w:lineRule="auto" w:line="240" w:before="0" w:after="20"/>
              <w:rPr>
                <w:rFonts w:ascii="Arial" w:hAnsi="Arial" w:eastAsia="Times New Roman" w:cs="Arial"/>
                <w:sz w:val="21"/>
                <w:szCs w:val="21"/>
                <w:lang w:val="ru-RU" w:eastAsia="ru-RU"/>
              </w:rPr>
            </w:pPr>
            <w:r>
              <w:rPr>
                <w:rFonts w:eastAsia="Times New Roman" w:cs="Arial" w:ascii="Aptos" w:hAnsi="Aptos"/>
                <w:sz w:val="15"/>
                <w:szCs w:val="21"/>
                <w:lang w:val="ru-RU" w:eastAsia="ru-RU"/>
              </w:rPr>
              <w:t>3/3 (квартал полный)</w:t>
            </w:r>
          </w:p>
        </w:tc>
      </w:tr>
    </w:tbl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Квартальное начисление по каждой статье берётся как расчётное значение из последнего месяца квартала (по аналогии с п. 1.1).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360" w:before="300" w:after="60"/>
        <w:outlineLvl w:val="3"/>
        <w:rPr>
          <w:rFonts w:ascii="Arial" w:hAnsi="Arial" w:eastAsia="Times New Roman" w:cs="Arial"/>
          <w:b/>
          <w:bCs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1.3. Период: полный год (FY)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Загружается готовый рассчитанный годовой бюджет по соответствующим статьям из выбранной бюджетной версии. Дополнительных расчётов не требуется.</w:t>
      </w:r>
    </w:p>
    <w:p>
      <w:pPr>
        <w:pStyle w:val="Normal"/>
        <w:spacing w:lineRule="auto" w:line="240" w:before="480" w:after="120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Aptos" w:hAnsi="Aptos"/>
        </w:rPr>
        <mc:AlternateContent>
          <mc:Choice Requires="wps">
            <w:drawing>
              <wp:inline distT="0" distB="0" distL="0" distR="0">
                <wp:extent cx="6152515" cy="19050"/>
                <wp:effectExtent l="0" t="0" r="0" b="304800"/>
                <wp:docPr id="1" name="Shap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2" name="Shape1"/>
                        <wps:cNvSpPr/>
                      </wps:nvSpPr>
                      <wps:spPr>
                        <a:xfrm>
                          <a:off x="0" y="0"/>
                          <a:ext cx="6152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1" fillcolor="#a0a0a0" stroked="f" o:allowincell="f" style="position:absolute;margin-left:0pt;margin-top:-25.55pt;width:484.4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fill="FFFFFF" w:val="clear"/>
        <w:spacing w:lineRule="atLeast" w:line="420" w:before="300" w:after="120"/>
        <w:outlineLvl w:val="2"/>
        <w:rPr>
          <w:rFonts w:ascii="Arial" w:hAnsi="Arial" w:eastAsia="Times New Roman" w:cs="Arial"/>
          <w:b/>
          <w:bCs/>
          <w:sz w:val="27"/>
          <w:szCs w:val="27"/>
          <w:lang w:val="ru-RU" w:eastAsia="ru-RU"/>
        </w:rPr>
      </w:pPr>
      <w:r>
        <w:rPr>
          <w:rFonts w:eastAsia="Times New Roman" w:cs="Arial" w:ascii="Aptos" w:hAnsi="Aptos"/>
          <w:b/>
          <w:bCs/>
          <w:sz w:val="27"/>
          <w:szCs w:val="27"/>
          <w:lang w:val="ru-RU" w:eastAsia="ru-RU"/>
        </w:rPr>
        <w:t>2. Версия «Факт»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360" w:before="300" w:after="60"/>
        <w:outlineLvl w:val="3"/>
        <w:rPr>
          <w:rFonts w:ascii="Arial" w:hAnsi="Arial" w:eastAsia="Times New Roman" w:cs="Arial"/>
          <w:b/>
          <w:bCs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2.1. Период: текущий месяц (MTD)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360" w:before="300" w:after="60"/>
        <w:outlineLvl w:val="3"/>
        <w:rPr>
          <w:rFonts w:ascii="Arial" w:hAnsi="Arial" w:eastAsia="Times New Roman" w:cs="Arial"/>
          <w:b/>
          <w:bCs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Статьи фактических выплат (корректировка предыдущих периодов)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eastAsia="ru-RU"/>
        </w:rPr>
        <w:t>Quarterly bonus cash</w:t>
      </w:r>
      <w:r>
        <w:rPr>
          <w:rFonts w:eastAsia="Times New Roman" w:cs="Arial" w:ascii="Aptos" w:hAnsi="Aptos"/>
          <w:sz w:val="24"/>
          <w:szCs w:val="24"/>
          <w:lang w:eastAsia="ru-RU"/>
        </w:rPr>
        <w:t> 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и</w:t>
      </w:r>
      <w:r>
        <w:rPr>
          <w:rFonts w:eastAsia="Times New Roman" w:cs="Arial" w:ascii="Aptos" w:hAnsi="Aptos"/>
          <w:sz w:val="24"/>
          <w:szCs w:val="24"/>
          <w:lang w:eastAsia="ru-RU"/>
        </w:rPr>
        <w:t> </w:t>
      </w:r>
      <w:r>
        <w:rPr>
          <w:rFonts w:eastAsia="Times New Roman" w:cs="Arial" w:ascii="Aptos" w:hAnsi="Aptos"/>
          <w:b/>
          <w:bCs/>
          <w:sz w:val="24"/>
          <w:szCs w:val="24"/>
          <w:lang w:eastAsia="ru-RU"/>
        </w:rPr>
        <w:t>Social Security on quarterly cash</w:t>
      </w:r>
      <w:r>
        <w:rPr>
          <w:rFonts w:eastAsia="Times New Roman" w:cs="Arial" w:ascii="Aptos" w:hAnsi="Aptos"/>
          <w:sz w:val="24"/>
          <w:szCs w:val="24"/>
          <w:lang w:eastAsia="ru-RU"/>
        </w:rPr>
        <w:t> 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обрабатываются</w:t>
      </w:r>
      <w:r>
        <w:rPr>
          <w:rFonts w:eastAsia="Times New Roman" w:cs="Arial" w:ascii="Aptos" w:hAnsi="Aptos"/>
          <w:sz w:val="24"/>
          <w:szCs w:val="24"/>
          <w:lang w:eastAsia="ru-RU"/>
        </w:rPr>
        <w:t xml:space="preserve"> 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одинаково</w:t>
      </w:r>
      <w:r>
        <w:rPr>
          <w:rFonts w:eastAsia="Times New Roman" w:cs="Arial" w:ascii="Aptos" w:hAnsi="Aptos"/>
          <w:sz w:val="24"/>
          <w:szCs w:val="24"/>
          <w:lang w:eastAsia="ru-RU"/>
        </w:rPr>
        <w:t>:</w:t>
      </w:r>
    </w:p>
    <w:p>
      <w:pPr>
        <w:pStyle w:val="Normal"/>
        <w:numPr>
          <w:ilvl w:val="0"/>
          <w:numId w:val="4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Фактическая сумма выплаты (загруженная из 1С) переносится из месяца фактической выплаты в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последний месяц предшествующего квартала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.</w:t>
      </w:r>
    </w:p>
    <w:p>
      <w:pPr>
        <w:pStyle w:val="Normal"/>
        <w:numPr>
          <w:ilvl w:val="0"/>
          <w:numId w:val="4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Это отражает корректировку предыдущих периодов: выплата относится к кварталу, за который начислена, а не к месяцу, в котором перечислена.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360" w:before="300" w:after="60"/>
        <w:outlineLvl w:val="3"/>
        <w:rPr>
          <w:rFonts w:ascii="Arial" w:hAnsi="Arial" w:eastAsia="Times New Roman" w:cs="Arial"/>
          <w:b/>
          <w:bCs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Статьи начислений (соответствие бюджету)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Accruals for Quarterly bonus:</w:t>
      </w:r>
    </w:p>
    <w:p>
      <w:pPr>
        <w:pStyle w:val="Normal"/>
        <w:numPr>
          <w:ilvl w:val="0"/>
          <w:numId w:val="5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Значение = расчётное значение статьи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Quarterly bonus cash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 из версии «Бюджет» за соответствующий месяц.</w:t>
      </w:r>
    </w:p>
    <w:p>
      <w:pPr>
        <w:pStyle w:val="Normal"/>
        <w:numPr>
          <w:ilvl w:val="0"/>
          <w:numId w:val="5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Таким образом, начисление квартального бонуса в факте всегда повторяет бюджетное значение.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eastAsia="ru-RU"/>
        </w:rPr>
        <w:t>Social Security on Accruals for Quarterly bonus:</w:t>
      </w:r>
    </w:p>
    <w:p>
      <w:pPr>
        <w:pStyle w:val="Normal"/>
        <w:numPr>
          <w:ilvl w:val="0"/>
          <w:numId w:val="6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Значение = расчётное значение статьи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Social Security on quarterly cash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 из версии «Бюджет» за соответствующий месяц.</w:t>
      </w:r>
    </w:p>
    <w:p>
      <w:pPr>
        <w:pStyle w:val="Normal"/>
        <w:numPr>
          <w:ilvl w:val="0"/>
          <w:numId w:val="6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Таким образом, начисление социальных взносов в факте всегда повторяет бюджетное значение.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360" w:before="300" w:after="60"/>
        <w:outlineLvl w:val="3"/>
        <w:rPr>
          <w:rFonts w:ascii="Arial" w:hAnsi="Arial" w:eastAsia="Times New Roman" w:cs="Arial"/>
          <w:b/>
          <w:bCs/>
          <w:sz w:val="24"/>
          <w:szCs w:val="24"/>
          <w:lang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Статьи</w:t>
      </w:r>
      <w:r>
        <w:rPr>
          <w:rFonts w:eastAsia="Times New Roman" w:cs="Arial" w:ascii="Aptos" w:hAnsi="Aptos"/>
          <w:b/>
          <w:bCs/>
          <w:sz w:val="24"/>
          <w:szCs w:val="24"/>
          <w:lang w:eastAsia="ru-RU"/>
        </w:rPr>
        <w:t xml:space="preserve"> 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сторно</w:t>
      </w:r>
      <w:r>
        <w:rPr>
          <w:rFonts w:eastAsia="Times New Roman" w:cs="Arial" w:ascii="Aptos" w:hAnsi="Aptos"/>
          <w:b/>
          <w:bCs/>
          <w:sz w:val="24"/>
          <w:szCs w:val="24"/>
          <w:lang w:eastAsia="ru-RU"/>
        </w:rPr>
        <w:t xml:space="preserve"> 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начислений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eastAsia="ru-RU"/>
        </w:rPr>
        <w:t>Reverse Accruals for Quarterly bonus:</w:t>
      </w:r>
    </w:p>
    <w:p>
      <w:pPr>
        <w:pStyle w:val="Normal"/>
        <w:numPr>
          <w:ilvl w:val="0"/>
          <w:numId w:val="7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Проверить наличие фактических данных по статье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Quarterly bonus cash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 в выбранном месяце.</w:t>
      </w:r>
    </w:p>
    <w:p>
      <w:pPr>
        <w:pStyle w:val="Normal"/>
        <w:numPr>
          <w:ilvl w:val="0"/>
          <w:numId w:val="7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Если факт отражён — значение определяется как сумма значений статьи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Accruals for Quarterly bonus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 за все три месяца соответствующего квартала, взятая с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отрицательным знаком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.</w:t>
      </w:r>
    </w:p>
    <w:p>
      <w:pPr>
        <w:pStyle w:val="Normal"/>
        <w:numPr>
          <w:ilvl w:val="0"/>
          <w:numId w:val="7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Если факт отсутствует — значение равно нулю.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Логика: при фактической выплате квартального бонуса сторнируется начисление, которое ранее было перенесено из бюджета.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eastAsia="ru-RU"/>
        </w:rPr>
        <w:t>Social Security on Reverse Accruals for Quarterly bonus:</w:t>
      </w:r>
    </w:p>
    <w:p>
      <w:pPr>
        <w:pStyle w:val="Normal"/>
        <w:numPr>
          <w:ilvl w:val="0"/>
          <w:numId w:val="8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Проверить наличие фактических данных по статье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Social Security on quarterly cash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 в выбранном месяце.</w:t>
      </w:r>
    </w:p>
    <w:p>
      <w:pPr>
        <w:pStyle w:val="Normal"/>
        <w:numPr>
          <w:ilvl w:val="0"/>
          <w:numId w:val="8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Если факт отражён — значение определяется как сумма значений статьи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Social Security on Accruals for Quarterly bonus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 за все три месяца соответствующего квартала, взятая с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отрицательным знаком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.</w:t>
      </w:r>
    </w:p>
    <w:p>
      <w:pPr>
        <w:pStyle w:val="Normal"/>
        <w:numPr>
          <w:ilvl w:val="0"/>
          <w:numId w:val="8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Если факт отсутствует — значение равно нулю.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Логика: при фактической выплате социальных взносов сторнируется начисление взносов, которое ранее было перенесено из бюджета.</w:t>
      </w:r>
    </w:p>
    <w:p>
      <w:pPr>
        <w:pStyle w:val="Normal"/>
        <w:spacing w:after="0"/>
        <w:rPr>
          <w:b/>
          <w:lang w:val="ru-RU"/>
        </w:rPr>
      </w:pPr>
      <w:r>
        <w:rPr>
          <w:rFonts w:ascii="Aptos" w:hAnsi="Aptos"/>
          <w:b/>
          <w:lang w:val="ru-RU"/>
        </w:rPr>
      </w:r>
    </w:p>
    <w:p>
      <w:pPr>
        <w:pStyle w:val="Normal"/>
        <w:spacing w:after="0"/>
        <w:rPr>
          <w:b/>
          <w:lang w:val="ru-RU"/>
        </w:rPr>
      </w:pPr>
      <w:r>
        <w:rPr>
          <w:rFonts w:ascii="Aptos" w:hAnsi="Aptos"/>
          <w:b/>
          <w:lang w:val="ru-RU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420" w:before="360" w:after="120"/>
        <w:outlineLvl w:val="1"/>
        <w:rPr>
          <w:rFonts w:ascii="Arial" w:hAnsi="Arial" w:eastAsia="Times New Roman" w:cs="Arial"/>
          <w:b/>
          <w:bCs/>
          <w:sz w:val="30"/>
          <w:szCs w:val="30"/>
          <w:lang w:val="ru-RU" w:eastAsia="ru-RU"/>
        </w:rPr>
      </w:pPr>
      <w:r>
        <w:rPr>
          <w:rFonts w:eastAsia="Times New Roman" w:cs="Arial" w:ascii="Aptos" w:hAnsi="Aptos"/>
          <w:b/>
          <w:bCs/>
          <w:sz w:val="30"/>
          <w:szCs w:val="30"/>
          <w:lang w:val="ru-RU" w:eastAsia="ru-RU"/>
        </w:rPr>
        <w:t>Раздел «ФД/</w:t>
      </w:r>
      <w:r>
        <w:rPr>
          <w:rFonts w:eastAsia="Times New Roman" w:cs="Arial" w:ascii="Aptos" w:hAnsi="Aptos"/>
          <w:b/>
          <w:bCs/>
          <w:sz w:val="30"/>
          <w:szCs w:val="30"/>
          <w:lang w:eastAsia="ru-RU"/>
        </w:rPr>
        <w:t>Finance</w:t>
      </w:r>
      <w:r>
        <w:rPr>
          <w:rFonts w:eastAsia="Times New Roman" w:cs="Arial" w:ascii="Aptos" w:hAnsi="Aptos"/>
          <w:b/>
          <w:bCs/>
          <w:sz w:val="30"/>
          <w:szCs w:val="30"/>
          <w:lang w:val="ru-RU" w:eastAsia="ru-RU"/>
        </w:rPr>
        <w:t>»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420" w:before="360" w:after="120"/>
        <w:outlineLvl w:val="1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 xml:space="preserve">Суммы значений по статьям без изменений переносятся из советующих версий соответствующих периодов согласно мэппингу компонентов. </w:t>
      </w:r>
    </w:p>
    <w:p>
      <w:pPr>
        <w:pStyle w:val="Normal"/>
        <w:spacing w:after="0"/>
        <w:rPr>
          <w:b/>
          <w:lang w:val="ru-RU"/>
        </w:rPr>
      </w:pPr>
      <w:r>
        <w:rPr>
          <w:rFonts w:ascii="Aptos" w:hAnsi="Aptos"/>
          <w:b/>
          <w:lang w:val="ru-RU"/>
        </w:rPr>
      </w:r>
    </w:p>
    <w:p>
      <w:pPr>
        <w:pStyle w:val="Normal"/>
        <w:spacing w:after="0"/>
        <w:rPr>
          <w:b/>
          <w:lang w:val="ru-RU"/>
        </w:rPr>
      </w:pPr>
      <w:r>
        <w:rPr>
          <w:rFonts w:ascii="Aptos" w:hAnsi="Aptos"/>
          <w:b/>
          <w:lang w:val="ru-RU"/>
        </w:rPr>
      </w:r>
    </w:p>
    <w:p>
      <w:pPr>
        <w:pStyle w:val="Normal"/>
        <w:spacing w:after="0"/>
        <w:rPr>
          <w:b/>
          <w:lang w:val="ru-RU"/>
        </w:rPr>
      </w:pPr>
      <w:r>
        <w:rPr>
          <w:rFonts w:ascii="Aptos" w:hAnsi="Aptos"/>
          <w:b/>
          <w:lang w:val="ru-RU"/>
        </w:rPr>
      </w:r>
    </w:p>
    <w:p>
      <w:pPr>
        <w:pStyle w:val="Normal"/>
        <w:spacing w:after="0"/>
        <w:rPr>
          <w:b/>
          <w:lang w:val="ru-RU"/>
        </w:rPr>
      </w:pPr>
      <w:r>
        <w:rPr>
          <w:rFonts w:ascii="Aptos" w:hAnsi="Aptos"/>
          <w:b/>
          <w:lang w:val="ru-RU"/>
        </w:rPr>
      </w:r>
    </w:p>
    <w:p>
      <w:pPr>
        <w:pStyle w:val="Normal"/>
        <w:spacing w:after="0"/>
        <w:rPr>
          <w:b/>
        </w:rPr>
      </w:pPr>
      <w:r>
        <w:rPr>
          <w:rFonts w:ascii="Aptos" w:hAnsi="Aptos"/>
          <w:b/>
        </w:rPr>
      </w:r>
    </w:p>
    <w:p>
      <w:pPr>
        <w:pStyle w:val="Normal"/>
        <w:spacing w:after="0"/>
        <w:rPr>
          <w:b/>
          <w:lang w:val="ru-RU"/>
        </w:rPr>
      </w:pPr>
      <w:r>
        <w:rPr>
          <w:rFonts w:ascii="Aptos" w:hAnsi="Aptos"/>
          <w:b/>
          <w:lang w:val="ru-RU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420" w:before="360" w:after="120"/>
        <w:outlineLvl w:val="1"/>
        <w:rPr>
          <w:rFonts w:ascii="Arial" w:hAnsi="Arial" w:eastAsia="Times New Roman" w:cs="Arial"/>
          <w:b/>
          <w:bCs/>
          <w:sz w:val="30"/>
          <w:szCs w:val="30"/>
          <w:lang w:val="ru-RU" w:eastAsia="ru-RU"/>
        </w:rPr>
      </w:pPr>
      <w:r>
        <w:rPr>
          <w:rFonts w:eastAsia="Times New Roman" w:cs="Arial" w:ascii="Aptos" w:hAnsi="Aptos"/>
          <w:b/>
          <w:bCs/>
          <w:sz w:val="30"/>
          <w:szCs w:val="30"/>
          <w:lang w:val="ru-RU" w:eastAsia="ru-RU"/>
        </w:rPr>
        <w:t>Раздел «ДРП/HR»: методология годового бонуса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420" w:before="300" w:after="120"/>
        <w:outlineLvl w:val="2"/>
        <w:rPr>
          <w:rFonts w:ascii="Arial" w:hAnsi="Arial" w:eastAsia="Times New Roman" w:cs="Arial"/>
          <w:b/>
          <w:bCs/>
          <w:sz w:val="27"/>
          <w:szCs w:val="27"/>
          <w:lang w:val="ru-RU" w:eastAsia="ru-RU"/>
        </w:rPr>
      </w:pPr>
      <w:r>
        <w:rPr>
          <w:rFonts w:eastAsia="Times New Roman" w:cs="Arial" w:ascii="Aptos" w:hAnsi="Aptos"/>
          <w:b/>
          <w:bCs/>
          <w:sz w:val="27"/>
          <w:szCs w:val="27"/>
          <w:lang w:val="ru-RU" w:eastAsia="ru-RU"/>
        </w:rPr>
        <w:t>1. Версия «Бюджет»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360" w:before="300" w:after="60"/>
        <w:outlineLvl w:val="3"/>
        <w:rPr>
          <w:rFonts w:ascii="Arial" w:hAnsi="Arial" w:eastAsia="Times New Roman" w:cs="Arial"/>
          <w:b/>
          <w:bCs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1.1. Период: текущий месяц (MTD)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Статьи, рассчитываемые по годовому принципу: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Для</w:t>
      </w:r>
      <w:r>
        <w:rPr>
          <w:rFonts w:eastAsia="Times New Roman" w:cs="Arial" w:ascii="Aptos" w:hAnsi="Aptos"/>
          <w:sz w:val="24"/>
          <w:szCs w:val="24"/>
          <w:lang w:eastAsia="ru-RU"/>
        </w:rPr>
        <w:t xml:space="preserve"> 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статей</w:t>
      </w:r>
      <w:r>
        <w:rPr>
          <w:rFonts w:eastAsia="Times New Roman" w:cs="Arial" w:ascii="Aptos" w:hAnsi="Aptos"/>
          <w:sz w:val="24"/>
          <w:szCs w:val="24"/>
          <w:lang w:eastAsia="ru-RU"/>
        </w:rPr>
        <w:t> </w:t>
      </w:r>
      <w:r>
        <w:rPr>
          <w:rFonts w:eastAsia="Times New Roman" w:cs="Arial" w:ascii="Aptos" w:hAnsi="Aptos"/>
          <w:b/>
          <w:bCs/>
          <w:sz w:val="24"/>
          <w:szCs w:val="24"/>
          <w:lang w:eastAsia="ru-RU"/>
        </w:rPr>
        <w:t>Bonus discretionary cash</w:t>
      </w:r>
      <w:r>
        <w:rPr>
          <w:rFonts w:eastAsia="Times New Roman" w:cs="Arial" w:ascii="Aptos" w:hAnsi="Aptos"/>
          <w:sz w:val="24"/>
          <w:szCs w:val="24"/>
          <w:lang w:eastAsia="ru-RU"/>
        </w:rPr>
        <w:t> 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и</w:t>
      </w:r>
      <w:r>
        <w:rPr>
          <w:rFonts w:eastAsia="Times New Roman" w:cs="Arial" w:ascii="Aptos" w:hAnsi="Aptos"/>
          <w:sz w:val="24"/>
          <w:szCs w:val="24"/>
          <w:lang w:eastAsia="ru-RU"/>
        </w:rPr>
        <w:t> </w:t>
      </w:r>
      <w:r>
        <w:rPr>
          <w:rFonts w:eastAsia="Times New Roman" w:cs="Arial" w:ascii="Aptos" w:hAnsi="Aptos"/>
          <w:b/>
          <w:bCs/>
          <w:sz w:val="24"/>
          <w:szCs w:val="24"/>
          <w:lang w:eastAsia="ru-RU"/>
        </w:rPr>
        <w:t>Social Security on discretionary Bonus cash</w:t>
      </w:r>
      <w:r>
        <w:rPr>
          <w:rFonts w:eastAsia="Times New Roman" w:cs="Arial" w:ascii="Aptos" w:hAnsi="Aptos"/>
          <w:sz w:val="24"/>
          <w:szCs w:val="24"/>
          <w:lang w:eastAsia="ru-RU"/>
        </w:rPr>
        <w:t> 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расчёт</w:t>
      </w:r>
      <w:r>
        <w:rPr>
          <w:rFonts w:eastAsia="Times New Roman" w:cs="Arial" w:ascii="Aptos" w:hAnsi="Aptos"/>
          <w:sz w:val="24"/>
          <w:szCs w:val="24"/>
          <w:lang w:eastAsia="ru-RU"/>
        </w:rPr>
        <w:t xml:space="preserve"> 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производится</w:t>
      </w:r>
      <w:r>
        <w:rPr>
          <w:rFonts w:eastAsia="Times New Roman" w:cs="Arial" w:ascii="Aptos" w:hAnsi="Aptos"/>
          <w:sz w:val="24"/>
          <w:szCs w:val="24"/>
          <w:lang w:eastAsia="ru-RU"/>
        </w:rPr>
        <w:t xml:space="preserve"> 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одинаково</w:t>
      </w:r>
      <w:r>
        <w:rPr>
          <w:rFonts w:eastAsia="Times New Roman" w:cs="Arial" w:ascii="Aptos" w:hAnsi="Aptos"/>
          <w:sz w:val="24"/>
          <w:szCs w:val="24"/>
          <w:lang w:eastAsia="ru-RU"/>
        </w:rPr>
        <w:t>:</w:t>
      </w:r>
    </w:p>
    <w:p>
      <w:pPr>
        <w:pStyle w:val="Normal"/>
        <w:numPr>
          <w:ilvl w:val="0"/>
          <w:numId w:val="9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Определить год, к которому относится выбранный месяц.</w:t>
      </w:r>
    </w:p>
    <w:p>
      <w:pPr>
        <w:pStyle w:val="Normal"/>
        <w:numPr>
          <w:ilvl w:val="0"/>
          <w:numId w:val="9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Взять расчётное значение по статье из последнего месяца этого года (декабрь).</w:t>
      </w:r>
    </w:p>
    <w:p>
      <w:pPr>
        <w:pStyle w:val="Normal"/>
        <w:numPr>
          <w:ilvl w:val="0"/>
          <w:numId w:val="9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Разделить на 12 — это и есть значение для выбранного месяца.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Статьи, всегда равные нулю в версии «Бюджет»:</w:t>
      </w:r>
    </w:p>
    <w:p>
      <w:pPr>
        <w:pStyle w:val="Normal"/>
        <w:numPr>
          <w:ilvl w:val="0"/>
          <w:numId w:val="10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Bonus discretionary Accrual</w:t>
      </w:r>
    </w:p>
    <w:p>
      <w:pPr>
        <w:pStyle w:val="Normal"/>
        <w:numPr>
          <w:ilvl w:val="0"/>
          <w:numId w:val="10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ptos" w:hAnsi="Aptos"/>
          <w:sz w:val="24"/>
          <w:szCs w:val="24"/>
          <w:lang w:eastAsia="ru-RU"/>
        </w:rPr>
        <w:t>Social Security on discretionary Bonus Accrual</w:t>
      </w:r>
    </w:p>
    <w:p>
      <w:pPr>
        <w:pStyle w:val="Normal"/>
        <w:numPr>
          <w:ilvl w:val="0"/>
          <w:numId w:val="10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Reverse Bonus discretionary Accrual</w:t>
      </w:r>
    </w:p>
    <w:p>
      <w:pPr>
        <w:pStyle w:val="Normal"/>
        <w:numPr>
          <w:ilvl w:val="0"/>
          <w:numId w:val="10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ptos" w:hAnsi="Aptos"/>
          <w:sz w:val="24"/>
          <w:szCs w:val="24"/>
          <w:lang w:eastAsia="ru-RU"/>
        </w:rPr>
        <w:t>Social Security on Bonus discretionary Accrual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360" w:before="300" w:after="60"/>
        <w:outlineLvl w:val="3"/>
        <w:rPr>
          <w:rFonts w:ascii="Arial" w:hAnsi="Arial" w:eastAsia="Times New Roman" w:cs="Arial"/>
          <w:b/>
          <w:bCs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1.2. Период: нарастающий итог с начала года (YTD)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Значение YTD =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сумма значений по всем закрытым месяцам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 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Доля зависит от порядкового номера месяца в году:</w:t>
      </w:r>
    </w:p>
    <w:tbl>
      <w:tblPr>
        <w:tblW w:w="11100" w:type="dxa"/>
        <w:jc w:val="center"/>
        <w:tblInd w:w="0" w:type="dxa"/>
        <w:tblLayout w:type="autofit"/>
        <w:tblCellMar>
          <w:top w:w="120" w:type="dxa"/>
          <w:start w:w="0" w:type="dxa"/>
          <w:bottom w:w="120" w:type="dxa"/>
          <w:end w:w="360" w:type="dxa"/>
        </w:tblCellMar>
      </w:tblPr>
      <w:tblGrid>
        <w:gridCol w:w="3851"/>
        <w:gridCol w:w="7249"/>
      </w:tblGrid>
      <w:tr>
        <w:trPr>
          <w:tblHeader w:val="true"/>
          <w:cantSplit/>
        </w:trPr>
        <w:tc>
          <w:tcPr>
            <w:tcW w:w="0" w:type="auto"/>
            <w:tcBorders/>
            <w:shd w:fill="FFFFFF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spacing w:lineRule="auto" w:line="240" w:before="0" w:after="20"/>
              <w:rPr>
                <w:rFonts w:ascii="Arial" w:hAnsi="Arial" w:eastAsia="Times New Roman" w:cs="Arial"/>
                <w:sz w:val="21"/>
                <w:szCs w:val="21"/>
                <w:lang w:val="ru-RU" w:eastAsia="ru-RU"/>
              </w:rPr>
            </w:pPr>
            <w:r>
              <w:rPr>
                <w:rFonts w:eastAsia="Times New Roman" w:cs="Arial" w:ascii="Aptos" w:hAnsi="Aptos"/>
                <w:sz w:val="15"/>
                <w:szCs w:val="21"/>
                <w:lang w:val="ru-RU" w:eastAsia="ru-RU"/>
              </w:rPr>
              <w:t>Месяц в году</w:t>
            </w:r>
          </w:p>
        </w:tc>
        <w:tc>
          <w:tcPr>
            <w:tcW w:w="0" w:type="auto"/>
            <w:tcBorders/>
            <w:shd w:fill="FFFFFF" w:val="clear"/>
            <w:tcMar>
              <w:start w:w="70" w:type="dxa"/>
              <w:top w:w="60" w:type="dxa"/>
              <w:bottom w:w="60" w:type="dxa"/>
              <w:end w:w="70" w:type="dxa"/>
            </w:tcMar>
            <w:vAlign w:val="center"/>
          </w:tcPr>
          <w:p>
            <w:pPr>
              <w:pStyle w:val="Normal"/>
              <w:spacing w:lineRule="auto" w:line="240" w:before="0" w:after="20"/>
              <w:rPr>
                <w:rFonts w:ascii="Arial" w:hAnsi="Arial" w:eastAsia="Times New Roman" w:cs="Arial"/>
                <w:sz w:val="21"/>
                <w:szCs w:val="21"/>
                <w:lang w:val="ru-RU" w:eastAsia="ru-RU"/>
              </w:rPr>
            </w:pPr>
            <w:r>
              <w:rPr>
                <w:rFonts w:eastAsia="Times New Roman" w:cs="Arial" w:ascii="Aptos" w:hAnsi="Aptos"/>
                <w:sz w:val="15"/>
                <w:szCs w:val="21"/>
                <w:lang w:val="ru-RU" w:eastAsia="ru-RU"/>
              </w:rPr>
              <w:t>Доля годового начисления</w:t>
            </w:r>
          </w:p>
        </w:tc>
      </w:tr>
      <w:tr>
        <w:trPr>
          <w:cantSplit/>
        </w:trPr>
        <w:tc>
          <w:tcPr>
            <w:tcW w:w="0" w:type="auto"/>
            <w:tcBorders/>
            <w:shd w:fill="FFFFFF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spacing w:lineRule="auto" w:line="240" w:before="0" w:after="20"/>
              <w:rPr>
                <w:rFonts w:ascii="Arial" w:hAnsi="Arial" w:eastAsia="Times New Roman" w:cs="Arial"/>
                <w:sz w:val="21"/>
                <w:szCs w:val="21"/>
                <w:lang w:val="ru-RU" w:eastAsia="ru-RU"/>
              </w:rPr>
            </w:pPr>
            <w:r>
              <w:rPr>
                <w:rFonts w:eastAsia="Times New Roman" w:cs="Arial" w:ascii="Aptos" w:hAnsi="Aptos"/>
                <w:sz w:val="15"/>
                <w:szCs w:val="21"/>
                <w:lang w:val="ru-RU" w:eastAsia="ru-RU"/>
              </w:rPr>
              <w:t>1-й (январь)</w:t>
            </w:r>
          </w:p>
        </w:tc>
        <w:tc>
          <w:tcPr>
            <w:tcW w:w="0" w:type="auto"/>
            <w:tcBorders/>
            <w:shd w:fill="FFFFFF" w:val="clear"/>
            <w:tcMar>
              <w:start w:w="70" w:type="dxa"/>
              <w:top w:w="60" w:type="dxa"/>
              <w:bottom w:w="60" w:type="dxa"/>
              <w:end w:w="70" w:type="dxa"/>
            </w:tcMar>
            <w:vAlign w:val="center"/>
          </w:tcPr>
          <w:p>
            <w:pPr>
              <w:pStyle w:val="Normal"/>
              <w:spacing w:lineRule="auto" w:line="240" w:before="0" w:after="20"/>
              <w:rPr>
                <w:rFonts w:ascii="Arial" w:hAnsi="Arial" w:eastAsia="Times New Roman" w:cs="Arial"/>
                <w:sz w:val="21"/>
                <w:szCs w:val="21"/>
                <w:lang w:val="ru-RU" w:eastAsia="ru-RU"/>
              </w:rPr>
            </w:pPr>
            <w:r>
              <w:rPr>
                <w:rFonts w:eastAsia="Times New Roman" w:cs="Arial" w:ascii="Aptos" w:hAnsi="Aptos"/>
                <w:sz w:val="15"/>
                <w:szCs w:val="21"/>
                <w:lang w:val="ru-RU" w:eastAsia="ru-RU"/>
              </w:rPr>
              <w:t>1/12</w:t>
            </w:r>
          </w:p>
        </w:tc>
      </w:tr>
      <w:tr>
        <w:trPr>
          <w:cantSplit/>
        </w:trPr>
        <w:tc>
          <w:tcPr>
            <w:tcW w:w="0" w:type="auto"/>
            <w:tcBorders/>
            <w:shd w:fill="FFFFFF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spacing w:lineRule="auto" w:line="240" w:before="0" w:after="20"/>
              <w:rPr>
                <w:rFonts w:ascii="Arial" w:hAnsi="Arial" w:eastAsia="Times New Roman" w:cs="Arial"/>
                <w:sz w:val="21"/>
                <w:szCs w:val="21"/>
                <w:lang w:val="ru-RU" w:eastAsia="ru-RU"/>
              </w:rPr>
            </w:pPr>
            <w:r>
              <w:rPr>
                <w:rFonts w:eastAsia="Times New Roman" w:cs="Arial" w:ascii="Aptos" w:hAnsi="Aptos"/>
                <w:sz w:val="15"/>
                <w:szCs w:val="21"/>
                <w:lang w:val="ru-RU" w:eastAsia="ru-RU"/>
              </w:rPr>
              <w:t>2-й (февраль)</w:t>
            </w:r>
          </w:p>
        </w:tc>
        <w:tc>
          <w:tcPr>
            <w:tcW w:w="0" w:type="auto"/>
            <w:tcBorders/>
            <w:shd w:fill="FFFFFF" w:val="clear"/>
            <w:tcMar>
              <w:start w:w="70" w:type="dxa"/>
              <w:top w:w="60" w:type="dxa"/>
              <w:bottom w:w="60" w:type="dxa"/>
              <w:end w:w="70" w:type="dxa"/>
            </w:tcMar>
            <w:vAlign w:val="center"/>
          </w:tcPr>
          <w:p>
            <w:pPr>
              <w:pStyle w:val="Normal"/>
              <w:spacing w:lineRule="auto" w:line="240" w:before="0" w:after="20"/>
              <w:rPr>
                <w:rFonts w:ascii="Arial" w:hAnsi="Arial" w:eastAsia="Times New Roman" w:cs="Arial"/>
                <w:sz w:val="21"/>
                <w:szCs w:val="21"/>
                <w:lang w:val="ru-RU" w:eastAsia="ru-RU"/>
              </w:rPr>
            </w:pPr>
            <w:r>
              <w:rPr>
                <w:rFonts w:eastAsia="Times New Roman" w:cs="Arial" w:ascii="Aptos" w:hAnsi="Aptos"/>
                <w:sz w:val="15"/>
                <w:szCs w:val="21"/>
                <w:lang w:val="ru-RU" w:eastAsia="ru-RU"/>
              </w:rPr>
              <w:t>2/12</w:t>
            </w:r>
          </w:p>
        </w:tc>
      </w:tr>
      <w:tr>
        <w:trPr>
          <w:cantSplit/>
        </w:trPr>
        <w:tc>
          <w:tcPr>
            <w:tcW w:w="0" w:type="auto"/>
            <w:tcBorders/>
            <w:shd w:fill="FFFFFF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spacing w:lineRule="auto" w:line="240" w:before="0" w:after="20"/>
              <w:rPr>
                <w:rFonts w:ascii="Arial" w:hAnsi="Arial" w:eastAsia="Times New Roman" w:cs="Arial"/>
                <w:sz w:val="21"/>
                <w:szCs w:val="21"/>
                <w:lang w:val="ru-RU" w:eastAsia="ru-RU"/>
              </w:rPr>
            </w:pPr>
            <w:r>
              <w:rPr>
                <w:rFonts w:eastAsia="Times New Roman" w:cs="Arial" w:ascii="Aptos" w:hAnsi="Aptos"/>
                <w:sz w:val="15"/>
                <w:szCs w:val="21"/>
                <w:lang w:val="ru-RU" w:eastAsia="ru-RU"/>
              </w:rPr>
              <w:t>…</w:t>
            </w:r>
          </w:p>
        </w:tc>
        <w:tc>
          <w:tcPr>
            <w:tcW w:w="0" w:type="auto"/>
            <w:tcBorders/>
            <w:shd w:fill="FFFFFF" w:val="clear"/>
            <w:tcMar>
              <w:start w:w="70" w:type="dxa"/>
              <w:top w:w="60" w:type="dxa"/>
              <w:bottom w:w="60" w:type="dxa"/>
              <w:end w:w="70" w:type="dxa"/>
            </w:tcMar>
            <w:vAlign w:val="center"/>
          </w:tcPr>
          <w:p>
            <w:pPr>
              <w:pStyle w:val="Normal"/>
              <w:spacing w:lineRule="auto" w:line="240" w:before="0" w:after="20"/>
              <w:rPr>
                <w:rFonts w:ascii="Arial" w:hAnsi="Arial" w:eastAsia="Times New Roman" w:cs="Arial"/>
                <w:sz w:val="21"/>
                <w:szCs w:val="21"/>
                <w:lang w:val="ru-RU" w:eastAsia="ru-RU"/>
              </w:rPr>
            </w:pPr>
            <w:r>
              <w:rPr>
                <w:rFonts w:eastAsia="Times New Roman" w:cs="Arial" w:ascii="Aptos" w:hAnsi="Aptos"/>
                <w:sz w:val="15"/>
                <w:szCs w:val="21"/>
                <w:lang w:val="ru-RU" w:eastAsia="ru-RU"/>
              </w:rPr>
              <w:t>…</w:t>
            </w:r>
          </w:p>
        </w:tc>
      </w:tr>
      <w:tr>
        <w:trPr>
          <w:cantSplit/>
        </w:trPr>
        <w:tc>
          <w:tcPr>
            <w:tcW w:w="0" w:type="auto"/>
            <w:tcBorders/>
            <w:shd w:fill="FFFFFF" w:val="clear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pPr>
              <w:pStyle w:val="Normal"/>
              <w:spacing w:lineRule="auto" w:line="240" w:before="0" w:after="20"/>
              <w:rPr>
                <w:rFonts w:ascii="Arial" w:hAnsi="Arial" w:eastAsia="Times New Roman" w:cs="Arial"/>
                <w:sz w:val="21"/>
                <w:szCs w:val="21"/>
                <w:lang w:val="ru-RU" w:eastAsia="ru-RU"/>
              </w:rPr>
            </w:pPr>
            <w:r>
              <w:rPr>
                <w:rFonts w:eastAsia="Times New Roman" w:cs="Arial" w:ascii="Aptos" w:hAnsi="Aptos"/>
                <w:sz w:val="15"/>
                <w:szCs w:val="21"/>
                <w:lang w:val="ru-RU" w:eastAsia="ru-RU"/>
              </w:rPr>
              <w:t>12-й (декабрь)</w:t>
            </w:r>
          </w:p>
        </w:tc>
        <w:tc>
          <w:tcPr>
            <w:tcW w:w="0" w:type="auto"/>
            <w:tcBorders/>
            <w:shd w:fill="FFFFFF" w:val="clear"/>
            <w:tcMar>
              <w:start w:w="70" w:type="dxa"/>
              <w:top w:w="60" w:type="dxa"/>
              <w:bottom w:w="60" w:type="dxa"/>
              <w:end w:w="70" w:type="dxa"/>
            </w:tcMar>
            <w:vAlign w:val="center"/>
          </w:tcPr>
          <w:p>
            <w:pPr>
              <w:pStyle w:val="Normal"/>
              <w:spacing w:lineRule="auto" w:line="240" w:before="0" w:after="20"/>
              <w:rPr>
                <w:rFonts w:ascii="Arial" w:hAnsi="Arial" w:eastAsia="Times New Roman" w:cs="Arial"/>
                <w:sz w:val="21"/>
                <w:szCs w:val="21"/>
                <w:lang w:val="ru-RU" w:eastAsia="ru-RU"/>
              </w:rPr>
            </w:pPr>
            <w:r>
              <w:rPr>
                <w:rFonts w:eastAsia="Times New Roman" w:cs="Arial" w:ascii="Aptos" w:hAnsi="Aptos"/>
                <w:sz w:val="15"/>
                <w:szCs w:val="21"/>
                <w:lang w:val="ru-RU" w:eastAsia="ru-RU"/>
              </w:rPr>
              <w:t>12/12 (год полный)</w:t>
            </w:r>
          </w:p>
        </w:tc>
      </w:tr>
    </w:tbl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Годовое начисление по каждой статье берётся как расчётное значение из декабря соответствующего года (по аналогии с п. 1.1).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360" w:before="300" w:after="60"/>
        <w:outlineLvl w:val="3"/>
        <w:rPr>
          <w:rFonts w:ascii="Arial" w:hAnsi="Arial" w:eastAsia="Times New Roman" w:cs="Arial"/>
          <w:b/>
          <w:bCs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1.3. Период: полный год (FY)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Загружается готовый рассчитанный годовой бюджет по соответствующим статьям из выбранной бюджетной версии. Дополнительных расчётов не требуется.</w:t>
      </w:r>
    </w:p>
    <w:p>
      <w:pPr>
        <w:pStyle w:val="Normal"/>
        <w:spacing w:lineRule="auto" w:line="240" w:before="480" w:after="120"/>
        <w:rPr>
          <w:rFonts w:ascii="Times New Roman" w:hAnsi="Times New Roman" w:eastAsia="Times New Roman" w:cs="Times New Roman"/>
          <w:sz w:val="24"/>
          <w:szCs w:val="24"/>
          <w:lang w:val="ru-RU" w:eastAsia="ru-RU"/>
        </w:rPr>
      </w:pPr>
      <w:r>
        <w:rPr>
          <w:rFonts w:ascii="Aptos" w:hAnsi="Aptos"/>
        </w:rPr>
        <mc:AlternateContent>
          <mc:Choice Requires="wps">
            <w:drawing>
              <wp:inline distT="0" distB="0" distL="0" distR="0">
                <wp:extent cx="6152515" cy="19050"/>
                <wp:effectExtent l="0" t="0" r="0" b="304800"/>
                <wp:docPr id="3" name="Shap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nvSpPr>
                        <wps:cNvPr id="4" name="Shape2"/>
                        <wps:cNvSpPr/>
                      </wps:nvSpPr>
                      <wps:spPr>
                        <a:xfrm>
                          <a:off x="0" y="0"/>
                          <a:ext cx="61524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Shape2" fillcolor="#a0a0a0" stroked="f" o:allowincell="f" style="position:absolute;margin-left:0pt;margin-top:-25.55pt;width:484.4pt;height:1.45pt;mso-wrap-style:none;v-text-anchor:middle;mso-position-horizontal:center;mso-position-vertical:top">
                <v:fill o:detectmouseclick="t" type="solid" color2="#5f5f5f"/>
                <v:stroke color="#3465a4" joinstyle="round" endcap="flat"/>
                <w10:wrap type="topAndBottom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hd w:fill="FFFFFF" w:val="clear"/>
        <w:spacing w:lineRule="atLeast" w:line="420" w:before="300" w:after="120"/>
        <w:outlineLvl w:val="2"/>
        <w:rPr>
          <w:rFonts w:ascii="Arial" w:hAnsi="Arial" w:eastAsia="Times New Roman" w:cs="Arial"/>
          <w:b/>
          <w:bCs/>
          <w:sz w:val="27"/>
          <w:szCs w:val="27"/>
          <w:lang w:val="ru-RU" w:eastAsia="ru-RU"/>
        </w:rPr>
      </w:pPr>
      <w:r>
        <w:rPr>
          <w:rFonts w:eastAsia="Times New Roman" w:cs="Arial" w:ascii="Aptos" w:hAnsi="Aptos"/>
          <w:b/>
          <w:bCs/>
          <w:sz w:val="27"/>
          <w:szCs w:val="27"/>
          <w:lang w:val="ru-RU" w:eastAsia="ru-RU"/>
        </w:rPr>
        <w:t>2. Версия «Факт»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360" w:before="300" w:after="60"/>
        <w:outlineLvl w:val="3"/>
        <w:rPr>
          <w:rFonts w:ascii="Arial" w:hAnsi="Arial" w:eastAsia="Times New Roman" w:cs="Arial"/>
          <w:b/>
          <w:bCs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2.1. Период: текущий месяц (MTD)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Статьи фактических выплат (корректировка предыдущих периодов)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eastAsia="ru-RU"/>
        </w:rPr>
        <w:t>Bonus discretionary cash</w:t>
      </w:r>
      <w:r>
        <w:rPr>
          <w:rFonts w:eastAsia="Times New Roman" w:cs="Arial" w:ascii="Aptos" w:hAnsi="Aptos"/>
          <w:sz w:val="24"/>
          <w:szCs w:val="24"/>
          <w:lang w:eastAsia="ru-RU"/>
        </w:rPr>
        <w:t> 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и</w:t>
      </w:r>
      <w:r>
        <w:rPr>
          <w:rFonts w:eastAsia="Times New Roman" w:cs="Arial" w:ascii="Aptos" w:hAnsi="Aptos"/>
          <w:sz w:val="24"/>
          <w:szCs w:val="24"/>
          <w:lang w:eastAsia="ru-RU"/>
        </w:rPr>
        <w:t> </w:t>
      </w:r>
      <w:r>
        <w:rPr>
          <w:rFonts w:eastAsia="Times New Roman" w:cs="Arial" w:ascii="Aptos" w:hAnsi="Aptos"/>
          <w:b/>
          <w:bCs/>
          <w:sz w:val="24"/>
          <w:szCs w:val="24"/>
          <w:lang w:eastAsia="ru-RU"/>
        </w:rPr>
        <w:t>Social Security on discretionary Bonus cash</w:t>
      </w:r>
      <w:r>
        <w:rPr>
          <w:rFonts w:eastAsia="Times New Roman" w:cs="Arial" w:ascii="Aptos" w:hAnsi="Aptos"/>
          <w:sz w:val="24"/>
          <w:szCs w:val="24"/>
          <w:lang w:eastAsia="ru-RU"/>
        </w:rPr>
        <w:t> 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обрабатываются</w:t>
      </w:r>
      <w:r>
        <w:rPr>
          <w:rFonts w:eastAsia="Times New Roman" w:cs="Arial" w:ascii="Aptos" w:hAnsi="Aptos"/>
          <w:sz w:val="24"/>
          <w:szCs w:val="24"/>
          <w:lang w:eastAsia="ru-RU"/>
        </w:rPr>
        <w:t xml:space="preserve"> 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одинаково</w:t>
      </w:r>
      <w:r>
        <w:rPr>
          <w:rFonts w:eastAsia="Times New Roman" w:cs="Arial" w:ascii="Aptos" w:hAnsi="Aptos"/>
          <w:sz w:val="24"/>
          <w:szCs w:val="24"/>
          <w:lang w:eastAsia="ru-RU"/>
        </w:rPr>
        <w:t>:</w:t>
      </w:r>
    </w:p>
    <w:p>
      <w:pPr>
        <w:pStyle w:val="Normal"/>
        <w:numPr>
          <w:ilvl w:val="0"/>
          <w:numId w:val="11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Фактическая сумма выплаты (загруженная из 1С) переносится из месяца фактической выплаты в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декабрь предшествующего года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.</w:t>
      </w:r>
    </w:p>
    <w:p>
      <w:pPr>
        <w:pStyle w:val="Normal"/>
        <w:numPr>
          <w:ilvl w:val="0"/>
          <w:numId w:val="11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Это отражает корректировку предыдущих периодов: выплата относится к году, за который начислена, а не к месяцу, в котором перечислена.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Статьи начислений (соответствие бюджету)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Bonus discretionary Accrual:</w:t>
      </w:r>
    </w:p>
    <w:p>
      <w:pPr>
        <w:pStyle w:val="Normal"/>
        <w:numPr>
          <w:ilvl w:val="0"/>
          <w:numId w:val="12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Значение = расчётное значение статьи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Bonus discretionary cash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 из версии «Бюджет» за соответствующий месяц.</w:t>
      </w:r>
    </w:p>
    <w:p>
      <w:pPr>
        <w:pStyle w:val="Normal"/>
        <w:numPr>
          <w:ilvl w:val="0"/>
          <w:numId w:val="12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Таким образом, начисление годового бонуса в факте всегда повторяет бюджетное значение.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eastAsia="ru-RU"/>
        </w:rPr>
        <w:t>Social Security on discretionary Bonus Accrual:</w:t>
      </w:r>
    </w:p>
    <w:p>
      <w:pPr>
        <w:pStyle w:val="Normal"/>
        <w:numPr>
          <w:ilvl w:val="0"/>
          <w:numId w:val="13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Значение = расчётное значение статьи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Social Security on discretionary Bonus cash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 из версии «Бюджет» за соответствующий месяц.</w:t>
      </w:r>
    </w:p>
    <w:p>
      <w:pPr>
        <w:pStyle w:val="Normal"/>
        <w:numPr>
          <w:ilvl w:val="0"/>
          <w:numId w:val="13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Таким образом, начисление социальных взносов в факте всегда повторяет бюджетное значение.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Статьи</w:t>
      </w:r>
      <w:r>
        <w:rPr>
          <w:rFonts w:eastAsia="Times New Roman" w:cs="Arial" w:ascii="Aptos" w:hAnsi="Aptos"/>
          <w:b/>
          <w:bCs/>
          <w:sz w:val="24"/>
          <w:szCs w:val="24"/>
          <w:lang w:eastAsia="ru-RU"/>
        </w:rPr>
        <w:t xml:space="preserve"> 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сторно</w:t>
      </w:r>
      <w:r>
        <w:rPr>
          <w:rFonts w:eastAsia="Times New Roman" w:cs="Arial" w:ascii="Aptos" w:hAnsi="Aptos"/>
          <w:b/>
          <w:bCs/>
          <w:sz w:val="24"/>
          <w:szCs w:val="24"/>
          <w:lang w:eastAsia="ru-RU"/>
        </w:rPr>
        <w:t xml:space="preserve"> 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начислений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eastAsia="ru-RU"/>
        </w:rPr>
        <w:t>Reverse Bonus discretionary Accrual:</w:t>
      </w:r>
    </w:p>
    <w:p>
      <w:pPr>
        <w:pStyle w:val="Normal"/>
        <w:numPr>
          <w:ilvl w:val="0"/>
          <w:numId w:val="14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Проверить наличие фактических данных по статье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Bonus discretionary cash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 в выбранном месяце.</w:t>
      </w:r>
    </w:p>
    <w:p>
      <w:pPr>
        <w:pStyle w:val="Normal"/>
        <w:numPr>
          <w:ilvl w:val="0"/>
          <w:numId w:val="14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Если факт отражён — значение определяется как сумма значений статьи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Bonus discretionary Accrual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 за все 12 месяцев соответствующего года, взятая с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отрицательным знаком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.</w:t>
      </w:r>
    </w:p>
    <w:p>
      <w:pPr>
        <w:pStyle w:val="Normal"/>
        <w:numPr>
          <w:ilvl w:val="0"/>
          <w:numId w:val="14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Если факт отсутствует — значение равно нулю.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Логика: при фактической выплате годового бонуса сторнируется начисление, которое ранее было перенесено из бюджета.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eastAsia="Times New Roman" w:cs="Arial" w:ascii="Aptos" w:hAnsi="Aptos"/>
          <w:b/>
          <w:bCs/>
          <w:sz w:val="24"/>
          <w:szCs w:val="24"/>
          <w:lang w:eastAsia="ru-RU"/>
        </w:rPr>
        <w:t>Social Security on Bonus discretionary Accrual:</w:t>
      </w:r>
    </w:p>
    <w:p>
      <w:pPr>
        <w:pStyle w:val="Normal"/>
        <w:numPr>
          <w:ilvl w:val="0"/>
          <w:numId w:val="15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Проверить наличие фактических данных по статье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Social Security on discretionary Bonus cash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 в выбранном месяце.</w:t>
      </w:r>
    </w:p>
    <w:p>
      <w:pPr>
        <w:pStyle w:val="Normal"/>
        <w:numPr>
          <w:ilvl w:val="0"/>
          <w:numId w:val="15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Если факт отражён — значение определяется как сумма значений статьи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Social Security on discretionary Bonus Accrual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 за все 12 месяцев соответствующего года, взятая с </w:t>
      </w:r>
      <w:r>
        <w:rPr>
          <w:rFonts w:eastAsia="Times New Roman" w:cs="Arial" w:ascii="Aptos" w:hAnsi="Aptos"/>
          <w:b/>
          <w:bCs/>
          <w:sz w:val="24"/>
          <w:szCs w:val="24"/>
          <w:lang w:val="ru-RU" w:eastAsia="ru-RU"/>
        </w:rPr>
        <w:t>отрицательным знаком</w:t>
      </w:r>
      <w:r>
        <w:rPr>
          <w:rFonts w:eastAsia="Times New Roman" w:cs="Arial" w:ascii="Aptos" w:hAnsi="Aptos"/>
          <w:sz w:val="24"/>
          <w:szCs w:val="24"/>
          <w:lang w:val="ru-RU" w:eastAsia="ru-RU"/>
        </w:rPr>
        <w:t>.</w:t>
      </w:r>
    </w:p>
    <w:p>
      <w:pPr>
        <w:pStyle w:val="Normal"/>
        <w:numPr>
          <w:ilvl w:val="0"/>
          <w:numId w:val="15"/>
        </w:numPr>
        <w:shd w:fill="FFFFFF" w:val="clear"/>
        <w:spacing w:lineRule="auto" w:line="240" w:before="120" w:after="120"/>
        <w:ind w:hanging="360" w:start="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Если факт отсутствует — значение равно нулю.</w:t>
      </w:r>
    </w:p>
    <w:p>
      <w:pPr>
        <w:pStyle w:val="Normal"/>
        <w:shd w:fill="FFFFFF" w:val="clear"/>
        <w:spacing w:lineRule="atLeast" w:line="420" w:before="120" w:after="120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>Логика: при фактической выплате социальных взносов сторнируется начисление взносов, которое ранее было перенесено из бюджета.</w:t>
      </w:r>
    </w:p>
    <w:p>
      <w:pPr>
        <w:pStyle w:val="Normal"/>
        <w:spacing w:after="0"/>
        <w:rPr>
          <w:b/>
          <w:lang w:val="ru-RU"/>
        </w:rPr>
      </w:pPr>
      <w:r>
        <w:rPr>
          <w:rFonts w:ascii="Aptos" w:hAnsi="Aptos"/>
          <w:b/>
          <w:lang w:val="ru-RU"/>
        </w:rPr>
      </w:r>
    </w:p>
    <w:p>
      <w:pPr>
        <w:pStyle w:val="Normal"/>
        <w:spacing w:after="0"/>
        <w:rPr>
          <w:b/>
          <w:lang w:val="ru-RU"/>
        </w:rPr>
      </w:pPr>
      <w:r>
        <w:rPr>
          <w:rFonts w:ascii="Aptos" w:hAnsi="Aptos"/>
          <w:b/>
          <w:lang w:val="ru-RU"/>
        </w:rPr>
      </w:r>
    </w:p>
    <w:p>
      <w:pPr>
        <w:pStyle w:val="Normal"/>
        <w:numPr>
          <w:ilvl w:val="0"/>
          <w:numId w:val="0"/>
        </w:numPr>
        <w:shd w:fill="FFFFFF" w:val="clear"/>
        <w:spacing w:lineRule="atLeast" w:line="420" w:before="360" w:after="120"/>
        <w:outlineLvl w:val="1"/>
        <w:rPr>
          <w:rFonts w:ascii="Arial" w:hAnsi="Arial" w:eastAsia="Times New Roman" w:cs="Arial"/>
          <w:b/>
          <w:bCs/>
          <w:sz w:val="30"/>
          <w:szCs w:val="30"/>
          <w:lang w:val="ru-RU" w:eastAsia="ru-RU"/>
        </w:rPr>
      </w:pPr>
      <w:r>
        <w:rPr>
          <w:rFonts w:eastAsia="Times New Roman" w:cs="Arial" w:ascii="Aptos" w:hAnsi="Aptos"/>
          <w:b/>
          <w:bCs/>
          <w:sz w:val="30"/>
          <w:szCs w:val="30"/>
          <w:lang w:val="ru-RU" w:eastAsia="ru-RU"/>
        </w:rPr>
        <w:t>Раздел «ФД/</w:t>
      </w:r>
      <w:r>
        <w:rPr>
          <w:rFonts w:eastAsia="Times New Roman" w:cs="Arial" w:ascii="Aptos" w:hAnsi="Aptos"/>
          <w:b/>
          <w:bCs/>
          <w:sz w:val="30"/>
          <w:szCs w:val="30"/>
          <w:lang w:eastAsia="ru-RU"/>
        </w:rPr>
        <w:t>Finance</w:t>
      </w:r>
      <w:r>
        <w:rPr>
          <w:rFonts w:eastAsia="Times New Roman" w:cs="Arial" w:ascii="Aptos" w:hAnsi="Aptos"/>
          <w:b/>
          <w:bCs/>
          <w:sz w:val="30"/>
          <w:szCs w:val="30"/>
          <w:lang w:val="ru-RU" w:eastAsia="ru-RU"/>
        </w:rPr>
        <w:t>»</w:t>
      </w:r>
    </w:p>
    <w:p>
      <w:pPr>
        <w:pStyle w:val="Normal"/>
        <w:numPr>
          <w:ilvl w:val="0"/>
          <w:numId w:val="0"/>
        </w:numPr>
        <w:shd w:fill="FFFFFF" w:val="clear"/>
        <w:spacing w:lineRule="atLeast" w:line="420" w:before="360" w:after="120"/>
        <w:outlineLvl w:val="1"/>
        <w:rPr>
          <w:rFonts w:ascii="Arial" w:hAnsi="Arial" w:eastAsia="Times New Roman" w:cs="Arial"/>
          <w:sz w:val="24"/>
          <w:szCs w:val="24"/>
          <w:lang w:val="ru-RU" w:eastAsia="ru-RU"/>
        </w:rPr>
      </w:pPr>
      <w:r>
        <w:rPr>
          <w:rFonts w:eastAsia="Times New Roman" w:cs="Arial" w:ascii="Aptos" w:hAnsi="Aptos"/>
          <w:sz w:val="24"/>
          <w:szCs w:val="24"/>
          <w:lang w:val="ru-RU" w:eastAsia="ru-RU"/>
        </w:rPr>
        <w:t xml:space="preserve">Суммы значений по статьям без изменений переносятся из советующих версий соответствующих периодов согласно мэппингу компонентов. </w:t>
      </w:r>
    </w:p>
    <w:p>
      <w:pPr>
        <w:pStyle w:val="Normal"/>
        <w:spacing w:before="0" w:after="120"/>
        <w:rPr>
          <w:b/>
          <w:lang w:val="ru-RU"/>
        </w:rPr>
      </w:pPr>
      <w:r>
        <w:rPr>
          <w:rFonts w:ascii="Aptos" w:hAnsi="Aptos"/>
          <w:b/>
          <w:lang w:val="ru-RU"/>
        </w:rPr>
      </w:r>
      <w:bookmarkStart w:id="0" w:name="_GoBack"/>
      <w:bookmarkStart w:id="1" w:name="_GoBack"/>
      <w:bookmarkEnd w:id="1"/>
    </w:p>
    <w:sectPr>
      <w:type w:val="nextPage"/>
      <w:pgSz w:w="12240" w:h="15840"/>
      <w:pgMar w:left="765" w:right="765" w:gutter="0" w:header="0" w:top="765" w:footer="0" w:bottom="765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Calibri">
    <w:charset w:val="00" w:characterSet="iso-8859-1"/>
    <w:family w:val="roman"/>
    <w:pitch w:val="variable"/>
  </w:font>
  <w:font w:name="Liberation Sans">
    <w:altName w:val="Arial"/>
    <w:charset w:val="00" w:characterSet="iso-8859-1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8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9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14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abstractNum w:abstractNumId="1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440"/>
        </w:tabs>
        <w:ind w:start="1440" w:hanging="360"/>
      </w:pPr>
      <w:rPr/>
    </w:lvl>
    <w:lvl w:ilvl="2">
      <w:start w:val="1"/>
      <w:numFmt w:val="decimal"/>
      <w:lvlText w:val="%3."/>
      <w:lvlJc w:val="start"/>
      <w:pPr>
        <w:tabs>
          <w:tab w:val="num" w:pos="2160"/>
        </w:tabs>
        <w:ind w:start="2160" w:hanging="360"/>
      </w:pPr>
      <w:rPr/>
    </w:lvl>
    <w:lvl w:ilvl="3">
      <w:start w:val="1"/>
      <w:numFmt w:val="decimal"/>
      <w:lvlText w:val="%4."/>
      <w:lvlJc w:val="start"/>
      <w:pPr>
        <w:tabs>
          <w:tab w:val="num" w:pos="2880"/>
        </w:tabs>
        <w:ind w:start="2880" w:hanging="360"/>
      </w:pPr>
      <w:rPr/>
    </w:lvl>
    <w:lvl w:ilvl="4">
      <w:start w:val="1"/>
      <w:numFmt w:val="decimal"/>
      <w:lvlText w:val="%5."/>
      <w:lvlJc w:val="start"/>
      <w:pPr>
        <w:tabs>
          <w:tab w:val="num" w:pos="3600"/>
        </w:tabs>
        <w:ind w:start="3600" w:hanging="360"/>
      </w:pPr>
      <w:rPr/>
    </w:lvl>
    <w:lvl w:ilvl="5">
      <w:start w:val="1"/>
      <w:numFmt w:val="decimal"/>
      <w:lvlText w:val="%6."/>
      <w:lvlJc w:val="start"/>
      <w:pPr>
        <w:tabs>
          <w:tab w:val="num" w:pos="4320"/>
        </w:tabs>
        <w:ind w:start="4320" w:hanging="360"/>
      </w:pPr>
      <w:rPr/>
    </w:lvl>
    <w:lvl w:ilvl="6">
      <w:start w:val="1"/>
      <w:numFmt w:val="decimal"/>
      <w:lvlText w:val="%7."/>
      <w:lvlJc w:val="start"/>
      <w:pPr>
        <w:tabs>
          <w:tab w:val="num" w:pos="5040"/>
        </w:tabs>
        <w:ind w:start="5040" w:hanging="360"/>
      </w:pPr>
      <w:rPr/>
    </w:lvl>
    <w:lvl w:ilvl="7">
      <w:start w:val="1"/>
      <w:numFmt w:val="decimal"/>
      <w:lvlText w:val="%8."/>
      <w:lvlJc w:val="start"/>
      <w:pPr>
        <w:tabs>
          <w:tab w:val="num" w:pos="5760"/>
        </w:tabs>
        <w:ind w:start="5760" w:hanging="360"/>
      </w:pPr>
      <w:rPr/>
    </w:lvl>
    <w:lvl w:ilvl="8">
      <w:start w:val="1"/>
      <w:numFmt w:val="decimal"/>
      <w:lvlText w:val="%9."/>
      <w:lvlJc w:val="start"/>
      <w:pPr>
        <w:tabs>
          <w:tab w:val="num" w:pos="6480"/>
        </w:tabs>
        <w:ind w:star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DejaVu Sans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  <w:spacing w:lineRule="auto" w:line="259" w:before="0" w:after="160"/>
      <w:jc w:val="start"/>
    </w:pPr>
    <w:rPr>
      <w:rFonts w:ascii="Calibri" w:hAnsi="Calibri" w:eastAsia="Calibri"/>
      <w:color w:val="auto"/>
      <w:kern w:val="0"/>
      <w:sz w:val="22"/>
      <w:szCs w:val="22"/>
      <w:lang w:val="en-US" w:eastAsia="en-US" w:bidi="ar-SA"/>
    </w:rPr>
  </w:style>
  <w:style w:type="paragraph" w:styleId="Heading2">
    <w:name w:val="heading 2"/>
    <w:basedOn w:val="Normal"/>
    <w:link w:val="Heading2Char"/>
    <w:qFormat/>
    <w:pPr>
      <w:numPr>
        <w:ilvl w:val="0"/>
        <w:numId w:val="0"/>
      </w:numPr>
      <w:spacing w:lineRule="auto" w:line="240" w:before="280" w:after="280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ru-RU" w:eastAsia="ru-RU"/>
    </w:rPr>
  </w:style>
  <w:style w:type="paragraph" w:styleId="Heading3">
    <w:name w:val="heading 3"/>
    <w:basedOn w:val="Normal"/>
    <w:link w:val="Heading3Char"/>
    <w:qFormat/>
    <w:pPr>
      <w:numPr>
        <w:ilvl w:val="0"/>
        <w:numId w:val="0"/>
      </w:numPr>
      <w:spacing w:lineRule="auto" w:line="240" w:before="280" w:after="280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ru-RU" w:eastAsia="ru-RU"/>
    </w:rPr>
  </w:style>
  <w:style w:type="paragraph" w:styleId="Heading4">
    <w:name w:val="heading 4"/>
    <w:basedOn w:val="Normal"/>
    <w:link w:val="Heading4Char"/>
    <w:qFormat/>
    <w:pPr>
      <w:numPr>
        <w:ilvl w:val="0"/>
        <w:numId w:val="0"/>
      </w:numPr>
      <w:spacing w:lineRule="auto" w:line="240" w:before="280" w:after="280"/>
      <w:outlineLvl w:val="3"/>
    </w:pPr>
    <w:rPr>
      <w:rFonts w:ascii="Times New Roman" w:hAnsi="Times New Roman" w:eastAsia="Times New Roman" w:cs="Times New Roman"/>
      <w:b/>
      <w:bCs/>
      <w:sz w:val="24"/>
      <w:szCs w:val="24"/>
      <w:lang w:val="ru-RU" w:eastAsia="ru-RU"/>
    </w:rPr>
  </w:style>
  <w:style w:type="character" w:styleId="DefaultParagraphFont">
    <w:name w:val="Default Paragraph Font"/>
    <w:qFormat/>
    <w:rPr/>
  </w:style>
  <w:style w:type="character" w:styleId="Heading2Char">
    <w:name w:val="Heading 2 Char"/>
    <w:basedOn w:val="DefaultParagraphFont"/>
    <w:link w:val="Heading2"/>
    <w:qFormat/>
    <w:rPr>
      <w:rFonts w:ascii="Times New Roman" w:hAnsi="Times New Roman" w:eastAsia="Times New Roman" w:cs="Times New Roman"/>
      <w:b/>
      <w:bCs/>
      <w:sz w:val="36"/>
      <w:szCs w:val="36"/>
      <w:lang w:val="ru-RU" w:eastAsia="ru-RU"/>
    </w:rPr>
  </w:style>
  <w:style w:type="character" w:styleId="Heading3Char">
    <w:name w:val="Heading 3 Char"/>
    <w:basedOn w:val="DefaultParagraphFont"/>
    <w:link w:val="Heading3"/>
    <w:qFormat/>
    <w:rPr>
      <w:rFonts w:ascii="Times New Roman" w:hAnsi="Times New Roman" w:eastAsia="Times New Roman" w:cs="Times New Roman"/>
      <w:b/>
      <w:bCs/>
      <w:sz w:val="27"/>
      <w:szCs w:val="27"/>
      <w:lang w:val="ru-RU" w:eastAsia="ru-RU"/>
    </w:rPr>
  </w:style>
  <w:style w:type="character" w:styleId="Heading4Char">
    <w:name w:val="Heading 4 Char"/>
    <w:basedOn w:val="DefaultParagraphFont"/>
    <w:link w:val="Heading4"/>
    <w:qFormat/>
    <w:rPr>
      <w:rFonts w:ascii="Times New Roman" w:hAnsi="Times New Roman" w:eastAsia="Times New Roman" w:cs="Times New Roman"/>
      <w:b/>
      <w:bCs/>
      <w:sz w:val="24"/>
      <w:szCs w:val="24"/>
      <w:lang w:val="ru-RU" w:eastAsia="ru-RU"/>
    </w:rPr>
  </w:style>
  <w:style w:type="character" w:styleId="Strong">
    <w:name w:val="Strong"/>
    <w:basedOn w:val="DefaultParagraphFont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NormalWeb">
    <w:name w:val="Normal (Web)"/>
    <w:basedOn w:val="Normal"/>
    <w:qFormat/>
    <w:pPr>
      <w:spacing w:lineRule="auto" w:line="240" w:before="280" w:after="280"/>
    </w:pPr>
    <w:rPr>
      <w:rFonts w:ascii="Times New Roman" w:hAnsi="Times New Roman" w:eastAsia="Times New Roman" w:cs="Times New Roman"/>
      <w:sz w:val="24"/>
      <w:szCs w:val="24"/>
      <w:lang w:val="ru-RU" w:eastAsia="ru-RU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numbering" w:styleId="NoList">
    <w:name w:val="No List"/>
    <w:qFormat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Application>LibreOffice/25.2.3.2$Linux_X86_64 LibreOffice_project/520$Build-2</Application>
  <AppVersion>15.0000</AppVersion>
  <Pages>6</Pages>
  <Words>932</Words>
  <Characters>5927</Characters>
  <CharactersWithSpaces>6725</CharactersWithSpaces>
  <Paragraphs>111</Paragraphs>
  <Company> 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2026-09-18T07:51:00Z</dcterms:created>
  <dc:creator>Obycheva, Anna</dc:creator>
  <dc:description/>
  <dc:language>en-US</dc:language>
  <cp:lastModifiedBy>Obycheva, Anna</cp:lastModifiedBy>
  <dcterms:modified xsi:type="dcterms:W3CDTF">2026-09-18T08:04:00Z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