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after="0"/>
        <w:jc w:val="center"/>
        <w:rPr>
          <w:rFonts w:ascii="Aptos" w:hAnsi="Aptos"/>
        </w:rPr>
      </w:pPr>
      <w:r>
        <w:rPr>
          <w:rFonts w:ascii="Aptos" w:hAnsi="Aptos"/>
        </w:rPr>
        <w:t>АЛЬБОМ ОТЧЁТНЫХ ФОРМ</w:t>
        <w:br/>
        <w:t>Форма 1 — Компенсационные расходы (ФОТ)</w:t>
      </w:r>
    </w:p>
    <w:p>
      <w:pPr>
        <w:pStyle w:val="Normal"/>
        <w:spacing w:after="0"/>
        <w:jc w:val="center"/>
        <w:rPr>
          <w:rFonts w:ascii="Aptos" w:hAnsi="Aptos"/>
        </w:rPr>
      </w:pPr>
      <w:r>
        <w:rPr>
          <w:rFonts w:ascii="Aptos" w:hAnsi="Aptos"/>
        </w:rPr>
        <w:t>Development-ready Functional Design / версия для передачи в разработку</w:t>
      </w:r>
    </w:p>
    <w:tbl>
      <w:tblPr>
        <w:tblW w:w="103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6"/>
        <w:gridCol w:w="5156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Версия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Основа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Функциональный дизайн v1.1 + ответы на открытые вопросы от 17.09.2026 + справочник бюджетных компонентов dbo.tbl_D_COMPONENT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 / часть решений закрыта; Q-05, Q-06, Q-09 (ССЧ), Q-11–Q-13 остаются открытыми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Владелец бизнес-логики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HR-аналитика / контроллинг персонала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Цель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Однозначно отделить бизнес-логику формы от системного маппинга и технической реализации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Callout"/>
        <w:spacing w:after="0"/>
        <w:rPr>
          <w:rFonts w:ascii="Aptos" w:hAnsi="Aptos"/>
        </w:rPr>
      </w:pPr>
      <w:r>
        <w:rPr>
          <w:rFonts w:ascii="Aptos" w:hAnsi="Aptos"/>
        </w:rPr>
        <w:t>Принцип документа: методолог определяет смысл, состав, формулы и ожидаемый результат; BA/SA связывает это с моделью данных; Tech Lead подтверждает техническую реализуемость и отсутствие дублирующей логики; разработчик реализует техническую формулу. Жёлтым отмечены решения, которых нет в исходной спецификации и которые нельзя безопасно додумывать.</w:t>
      </w:r>
    </w:p>
    <w:p>
      <w:pPr>
        <w:pStyle w:val="Normal"/>
        <w:spacing w:after="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и статус документа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Назначение и границы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Контроль компенсационных расходов по юридическому лицу: анализ исполнения бюджета ФОТ по основным компонентам вознаграждения и сверка данных ДРП и ФД за месяц, нарастающим итогом и за полный год.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Правило формирования колонок по юридическим лицам. Состав данных определяется выбранным периметром и выбранными юридическими лицами. Принадлежность каждого юридического лица к периметру определяется отдельным справочником «Юридическое лицо → Периметр».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При выборе нескольких юридических лиц форма расширяется вправо: для каждого выбранного юридического лица формируется самостоятельный блок расчётных колонок Факт / Бюджет / Δ по MTD, YTD и FY согласно макету. Блоки юридических лиц группируются по категории периметра («Новый периметр» / «Старый периметр») в соответствии со справочником принадлежности.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Форма не суммирует выбранные юридические лица в один блок: каждое выбранное юридическое лицо выводится отдельно.</w:t>
      </w:r>
    </w:p>
    <w:tbl>
      <w:tblPr>
        <w:tblW w:w="103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Блок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Смысл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Результат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ДРП (HR)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Управленческий взгляд на начисления и HR-показатели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Факт / Бюджет / отклонение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ФД (FINANCE)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Финансовый взгляд на те же строки через бухгалтерские данные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Факт / Бюджет / отклонение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Δ ДРП/ФД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Построчная сверка двух учётов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ДРП − ФД; ненулевые значения требуют анализа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Параметры формы и логика версий</w:t>
      </w:r>
    </w:p>
    <w:tbl>
      <w:tblPr>
        <w:tblW w:w="103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8"/>
        <w:gridCol w:w="2578"/>
        <w:gridCol w:w="2578"/>
        <w:gridCol w:w="2578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Значение / правило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Статус спецификации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Месяц отчёта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Определяет MTD, YTD и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Согласовано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Выбранный периметр; определяет допустимый состав юридических лиц по справочнику принадлежности «Юридическое лицо → Периметр».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Фильтрация доступных юридических лиц и группировка блоков отчёта по «Новому» / «Старому» периметру.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Бизнес-правило определено; технический маппинг атрибута —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Юридическое лицо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Множественный выбор юридических лиц из выбранного периметра.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Каждое выбранное юридическое лицо выводится отдельным блоком колонок справа.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Согласовано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Валюта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RUB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Валюта представления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Согласовано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Капитализация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excl. / incl.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Включение/исключение капитализируемых затрат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Открыто — Q-11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Actual Version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— одна актуальная версия для ДРП и одна для ФД; подставляется системой автоматически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Пользователь не выбирает версию факта. Источник ДРП/ФД определяется кодом версии.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Согласовано бизнес-правило; BA/SA фиксирует системные коды версий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Comparison Version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— отдельно версия ДРП и версия ФД; значения по умолчанию задаются системой и доступны пользователю для изменения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Параметры формы: «Версия бюджета ДРП» и «Версия бюджета ФД». Forecast не включён в текущий scope формы, пока не принято отдельное решение.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Согласовано бизнес-правило; BA/SA фиксирует список допустимых версий и значения по умолчанию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Правило отображения версий: версия факта пользователем не выбирается и определяется системой автоматически. В форме должны быть доступны два редактируемых параметра сравнения: «Версия бюджета ДРП» и «Версия бюджета ФД». Для каждого параметра система подставляет значение по умолчанию; пользователь может выбрать другую допустимую бюджетную версию. Конкретные системные коды, источник списка допустимых значений и правило выбора значения по умолчанию фиксируются BA/SA в технической постановке.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Расчётный уровень детализации расчёта и маппинг данных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Форма представляется на уровне «юридическое лицо × строка отчёта». До формирования строки отчёта данные агрегируются по согласованному уровню детализации расчёта, который обеспечивает однозначное сопоставление бюджетных компонентов между ДРП и ФД.</w:t>
      </w:r>
    </w:p>
    <w:tbl>
      <w:tblPr>
        <w:tblW w:w="103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Предлагаемое требование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Уровень детализации расчёта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× месяц × юридическое лицо × статья затрат (P&amp;L line) / показатель численности × бюджетный компонент × источник (ДРП/ФД). MTD, YTD и FY формируются на этой основе.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Согласовано бизнес-правило; точные поля модели фиксирует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Представление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Юридическое лицо × строка отчёта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Подтверждено исходным дизайном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ДРП/ФД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ДРП и ФД определяются разными версиями данных бюджетной системы: HR-факт/бюджет и финансовый факт/бюджет. Код версии однозначно определяет источник.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Согласовано бизнес-правило; коды версий —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Маппинг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Row ID отчёта ↔ Code / Label бюджетного компонента из dbo.tbl_D_COMPONENT; при необходимости — Account Code / SAP Account Code.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Частично заполнено по приложенному справочнику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Непромаппированные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Правило обработки статей/компонентов без маппинга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Открыто — Q-05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Типы расчёта и агрегации</w:t>
      </w:r>
    </w:p>
    <w:tbl>
      <w:tblPr>
        <w:tblW w:w="103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Определение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Пример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Значение агрегируется непосредственно из модели по маппингу строки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Оклад, резерв отпусков, выплата бонуса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Значение рассчитывается из других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Итого оклад, FIX, Total C&amp;B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DERIVED KPI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Показатель имеет отдельную бизнес-логику и не является простой суммой строк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% соцвзносов, HC Closing, MSU Closing, ССЧ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tbl>
      <w:tblPr>
        <w:tblW w:w="103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6"/>
        <w:gridCol w:w="5156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Aggregation Type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Логика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Сумма операций/начислений за период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Значение на последнюю релевантную дату периода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Среднее по методологии показателя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RATIO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Отношение отдельно агрегированных числителя и знаменателя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Временная логика MTD / YTD / FY</w:t>
      </w:r>
    </w:p>
    <w:tbl>
      <w:tblPr>
        <w:tblW w:w="103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78"/>
        <w:gridCol w:w="2578"/>
        <w:gridCol w:w="2578"/>
        <w:gridCol w:w="2578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Тип показателя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FY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Сумма выбранного месяца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Сумма с 01.01 по конец выбранного месяца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Годовой Budget/Comparison Version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Значение на конец выбранного месяца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То же closing-значение на конец выбранного месяца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Плановое closing-значение по принятой бюджетной логике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Среднее за выбранный месяц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Среднее за период 01.01–конец выбранного месяца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Плановое годовое значение по методологии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RATIO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MTD Numerator / MTD Denominator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YTD Numerator / YTD Denominator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FY Numerator / FY Denominator, если показатель применим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2"/>
        <w:spacing w:after="0"/>
        <w:rPr>
          <w:rFonts w:ascii="Aptos" w:hAnsi="Aptos"/>
        </w:rPr>
      </w:pPr>
      <w:r>
        <w:rPr>
          <w:rFonts w:ascii="Aptos" w:hAnsi="Aptos"/>
        </w:rPr>
        <w:t>6.1. Оставшийся бюджет — требуется решение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В исходной версии: Remaining Budget = YTD Fact − FY Budget. При таком определении неизрасходованный остаток отображается отрицательным. Это математически последовательно, но семантически конфликтует с названием «Оставшийся бюджет».</w:t>
      </w:r>
    </w:p>
    <w:tbl>
      <w:tblPr>
        <w:tblW w:w="103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37"/>
        <w:gridCol w:w="3437"/>
        <w:gridCol w:w="34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Формула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Интерпретация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A — рекомендованный для UI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FY Budget − YTD Fact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Положительное значение = бюджет ещё доступен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B — сохранить исходную формулу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YTD Fact − FY Budget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Отрицательное значение = неизрасходованный бюджет; переименовать показатель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ТРЕБУЕТ РЕШЕНИЯ ВЛАДЕЛЬЦА ФОРМЫ до разработки.</w:t>
      </w:r>
    </w:p>
    <w:p>
      <w:pPr>
        <w:pStyle w:val="Normal"/>
        <w:spacing w:after="0"/>
        <w:rPr>
          <w:rFonts w:ascii="Aptos" w:hAnsi="Aptos"/>
          <w:b/>
          <w:color w:val="2F75B5"/>
          <w:sz w:val="25"/>
        </w:rPr>
      </w:pPr>
      <w:r>
        <w:rPr>
          <w:rFonts w:ascii="Aptos" w:hAnsi="Aptos"/>
          <w:b/>
          <w:color w:val="2F75B5"/>
          <w:sz w:val="25"/>
        </w:rPr>
        <w:t>Правила расчёта квартального и годового бонусов</w:t>
      </w:r>
    </w:p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Правила ниже применяются к формам бюджетной системы, содержащим соответствующие компоненты. Для ФД/Finance значения по статьям переносятся из соответствующих версий и периодов согласно мэппингу компонентов без дополнительного перерасчёта формы.</w:t>
      </w:r>
    </w:p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Квартальный бонус — ДРП/HR</w:t>
      </w:r>
    </w:p>
    <w:tbl>
      <w:tblPr>
        <w:tblW w:w="139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7"/>
        <w:gridCol w:w="4637"/>
        <w:gridCol w:w="46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Определить квартал выбранного месяца; взять расчётное значение компонента из последнего месяца квартала; разделить на 3.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bonus; Social Security on Accruals for Quarterly bonus; Reverse Accruals for Quarterly bonus; 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Сумма полных закрытых кварталов + доля текущего квартала: 1/3, 2/3 или 3/3 в зависимости от номера месяца внутри квартала. Квартальное значение берётся из последнего месяца соответствующего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Quarterly bonus cash; Social Security on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Фактическая сумма из 1С относится к кварталу начисления: переносится из месяца фактической выплаты в последний месяц предшествующего квартала.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Равно расчётному значению Quarterly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Равно расчётному значению Social Security on quarterly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Если в выбранном месяце есть факт Quarterly bonus cash: отрицательная сумма Accruals for Quarterly bonus за три месяца соответствующего квартала;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Reverse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Если в выбранном месяце есть факт Social Security on quarterly cash: отрицательная сумма Social Security on Accruals for Quarterly bonus за три месяца соответствующего квартала; иначе 0.</w:t>
            </w:r>
          </w:p>
        </w:tc>
      </w:tr>
    </w:tbl>
    <w:p>
      <w:pPr>
        <w:pStyle w:val="Normal"/>
        <w:spacing w:after="0"/>
        <w:rPr>
          <w:rFonts w:ascii="Aptos" w:hAnsi="Aptos"/>
          <w:b/>
          <w:color w:val="17365D"/>
          <w:sz w:val="21"/>
        </w:rPr>
      </w:pPr>
      <w:r>
        <w:rPr>
          <w:rFonts w:ascii="Aptos" w:hAnsi="Aptos"/>
          <w:b/>
          <w:color w:val="17365D"/>
          <w:sz w:val="21"/>
        </w:rPr>
        <w:t>Годовой бонус — ДРП/HR</w:t>
      </w:r>
    </w:p>
    <w:tbl>
      <w:tblPr>
        <w:tblW w:w="139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7"/>
        <w:gridCol w:w="4637"/>
        <w:gridCol w:w="46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Версия /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Правило формирования значения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Взять расчётное значение компонента из декабря соответствующего года и разделить на 12.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Accrual; Social Security on discretionary Bonus Accrual; Reverse Bonus discretionary Accrual; 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Значение =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YTD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Доля годового начисления определяется номером месяца: n/12. Годовое значение берётся из декабря соответствующего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Бюджет / FY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Соответствующие статьи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Используется готовый рассчитанный годовой бюджет из выбранной бюджетной версии; дополнительный расчёт формы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cash; Social Security on discretionary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Фактическая сумма из 1С относится к году начисления: переносится из месяца фактической выплаты в декабрь предшествующего года.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Равно расчётному значению Bonus discretionary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discretionary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Равно расчётному значению Social Security on discretionary Bonus cash версии «Бюджет» за соответствующий месяц.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Reverse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Если в выбранном месяце есть факт Bonus discretionary cash: отрицательная сумма Bonus discretionary Accrual за 12 месяцев соответствующего года; иначе 0.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/ MTD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Social Security on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Если в выбранном месяце есть факт Social Security on discretionary Bonus cash: отрицательная сумма Social Security on discretionary Bonus Accrual за 12 месяцев соответствующего года; иначе 0.</w:t>
            </w:r>
          </w:p>
        </w:tc>
      </w:tr>
    </w:tbl>
    <w:p>
      <w:pPr>
        <w:pStyle w:val="Normal"/>
        <w:spacing w:after="0"/>
        <w:rPr>
          <w:rFonts w:ascii="Aptos" w:hAnsi="Aptos"/>
          <w:b w:val="false"/>
          <w:sz w:val="19"/>
        </w:rPr>
      </w:pPr>
      <w:r>
        <w:rPr>
          <w:rFonts w:ascii="Aptos" w:hAnsi="Aptos"/>
          <w:b w:val="false"/>
          <w:sz w:val="19"/>
        </w:rPr>
        <w:t>Правило сторно: сторно формируется отрицательным значением в соответствии с методологией; форма не выполняет дополнительное изменение знака.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Sign Convention</w:t>
      </w:r>
    </w:p>
    <w:tbl>
      <w:tblPr>
        <w:tblW w:w="103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56"/>
        <w:gridCol w:w="5156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Базовые начисления/выплаты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Положительный знак увеличивает расходы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Сторно по определению имеет отрицательный знак как отмена ранее начисленной суммы. В отчёте используется знак, сохранённый в источнике; дополнительное изменение знака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Δ Fact vs Budget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Fact − Budget; положительная дельта = превышение факта над бюджетом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Δ ДРП/ФД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ДРП − ФД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Отрицательные проводки/корректировки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Не менять знак без явного правила маппинга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Бизнес-правило согласовано: сторно отражается с отрицательным знаком. BA/SA при техническом тестировании подтверждает, что знак в источнике соответствует этому правилу; отдельного методологического решения Tech Lead не требуется.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8. Матрица расчёта строк — бизнес-логика и техническая постановка</w:t>
      </w:r>
    </w:p>
    <w:p>
      <w:pPr>
        <w:sectPr>
          <w:footerReference w:type="default" r:id="rId2"/>
          <w:type w:val="nextPage"/>
          <w:pgSz w:w="12240" w:h="15840"/>
          <w:pgMar w:left="765" w:right="765" w:gutter="0" w:header="0" w:top="765" w:footer="720" w:bottom="765"/>
          <w:pgNumType w:fmt="decimal"/>
          <w:formProt w:val="false"/>
          <w:textDirection w:val="lrTb"/>
          <w:docGrid w:type="default" w:linePitch="360" w:charSpace="0"/>
        </w:sect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Ниже сохранён исходный словарь строк. Новые колонки не подменяют техническую спецификацию: Source Mapping заполняется BA/SA после сверки со структурой куба. Для строк, рассчитываемых в форме, бизнес-формула фиксируется непосредственно в матрице и является нормативным правилом расчёта данной формы.</w:t>
      </w:r>
    </w:p>
    <w:tbl>
      <w:tblPr>
        <w:tblW w:w="1448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1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Row ID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Calc Type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Aggregation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Бизнес-формула / правило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Source Mapping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Где формируется значение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2"/>
                <w:szCs w:val="22"/>
                <w:lang w:val="en-US" w:eastAsia="en-US" w:bidi="ar-SA"/>
              </w:rPr>
              <w:t>Примечание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ДРП / HR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Заголовок блока данных кадрового учёта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TBD — BA/SA: источник / статья / мера / фильтры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Оклад /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Начисленные оклады за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TS-010 / TOTAL_SALARY; Account 4015100010 —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База для страховых взносов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оклад / 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взносы, начисленные на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ST-020_TS-010 / SOCIAL_TAX_TOTAL_SALARY; Account 4015100020 — Social securities on salaries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оклад / Total Salary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Оклад + Страховые взносы на оклад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Резерв на отпуск /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Резерв на неиспользованные отпуска (начисление)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VP-010 / VACATION_PAY; Account 4015100050 —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Оценочное обязательство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резерв отпусков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Взносы на резерв отпусков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ST-025 / SOCIAL_TAX_VACATION_PAY; Account 4015100060 — Social Security on accruals for unused vacations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резерв на отпуск / Total vacation accruals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Резерв + Взносы на резерв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Оплата больничных листов / Sick leave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Оплата больничных за счёт работодателя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TS-120 / SICK_LEAVE_COMPENSATION; Account 4015700025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больничные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Взносы на больничные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ST-020_TS-120 / SOCIAL_TAX_SICK_LEAVE_COMPENSATION; Account 4015700026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больничные / Total sick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Больничные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Декрет /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Пособия по беременности и родам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TS-170 / MATERNITY_LEAVE; Account 4015700010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Взносы на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ST-020_TS-170 / SOCIAL_TAX_MATERNITY_LEAVE; Account 4015700020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декрет / Total maternity leave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Декрет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Фиксированное вознаграждение / FIX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Итого оклад + Итого резерв отпусков + Итого больничные + Итого декрет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Ядро фиксированного ФОТ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Расходы на страхование (ДМС, НС) / Health &amp; welfare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ДМС и страхование от несчастных случаев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BN-010_T + BN-020 (Medical insurance/reimbursement + Life &amp; accident insurance); Account 4015230010. Подтвердить состав строки методологом.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Прочие бенефиты / Other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Негосударственные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BN-040 / OTHER_BENEFITS; Account 4015230020; при необходимости BN-040_ST / 4015210030 — подтвердить состав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Бенефиты / Benefits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ДМС/НС + Прочие бенефиты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Прочие выплаты /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Прочие разовые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TS-160 / OTHER_PAYMENTS; Account 4015700050 — Remaining Other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ST-020_TS-160 / SOCIAL_TAX_OTHER_PAYMENTS; Account 4015700060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прочие выплаты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Прочие выплаты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Премия разовая / Sign-ons –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Разовые премии при приёме (sign-on)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TO-090 / SIGN_ONS; Account 4015300010 — Sign-ons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премию разовую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ST-020_TO-090 / SOCIAL_TAX_SIGN_ONS; Account 4015300030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премия разовая / Total sign-ons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Премия разовая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Выплаты при увольнении / Direct severance payments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Выходные пособия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TO-050 / SEVERANCE; Account 4015400010 — Direct severance payments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ST-020_TO-050 / SOCIAL_TAX_SEVERANCE; Account 4015400050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выплаты при увольнении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Выплаты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Отложенное вознаграждение / Deferred Compensation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Отложенные выплаты (деферралы)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FP-010 / TOTAL_DEFERRAL и/или компонент 4015670010 Deferred Compensation — подтвердить точный уровень компонента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ST-020_FP_010 / SOCIAL_TAX_TOTAL_DEFERRAL и/или 4015670020 Social Security on Deferrals — подтвердить точный уровень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39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отложенное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Отложенное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Прочие компенсационные выплаты / Other Compensations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Итого прочие выплаты + Итого премия разовая + Итого увольнения + Итого отложенное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Сводная строка разовых выплат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Резерв квартальной премии / Accruals for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Начисление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резерв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Резерв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Сторно резерва квартальной премии / Reverse accruals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Списание (сторно)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сторно резерва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Сторно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Квартальная премия, выплата / Quarterly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Фактическая выплата квартальной премии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TB-055 / TOTAL_QUARTERLY_BONUS или TB-050 / QUARTERLY_BONUS; Account 4015690010 — подтвердить требуемый уровень иерархии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квартальную премию (выплата)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ST-020_TB-050 / SOCIAL_TAX_QUARTERLY_BONUS; Account 4015690020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квартальная премия, выплата / Total quarterly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Выплата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Квартальная премия / Quarterly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Резерв + Сторно + Выплата (все — итоги с взносами)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Полная стоимость квартальной премии за период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ФОТ до бонуса / FIX compensation before Bonus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Квартальная премия + Прочие комп. выплаты + Бенефиты + Фикс. вознаграждение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ФОТ без годового бонуса и корректировок прошлых лет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Резерв бонуса прошлых лет / Under- &amp; overaccruals –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Корректировка (до-/начисление) резерва бонусов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Компонент 4015640010 — Under-/overaccruals -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 бюджете HR отсутствует; в HR-блоке факт = 0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корректировку резерва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Компонент 4015640030 — Under-/overaccruals - contribution to social secur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корректировка резерва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Корректировка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Резерв бонуса прошлых лет (итоговая)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строка 54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Техническая строка-подстановка в итог ФОТ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Резерв годового бонуса / Bonus discretionary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Начисление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 образце: месяц = 1/12 годового бюджета, YTD = 1/2 годового бюджета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резерв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Резерв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59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Сторно резерва годового бонуса / Reverse bonus accrual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Списание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сторно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Справочник компонентов не позволяет однозначно отличить резерв/сторно от выплаты. Требуется правило Version/Transaction Type или отдельный компонент — BA/SA.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сторно резерва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Сторно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Годовой бонус, выплата / Bonus discretionary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Выплата годового бонуса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TB-016 / TOTAL_BONUS_CASH; Account 4015510010 — Bonus - cash awards (discretionary); при необходимости TB-020 Annual Cash Bonus — подтвердить уровень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Бюджет распределяется равномерно: месяц = FY/12, YTD = FY × доля года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Страховые взносы на годовой бонус (выплата)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ST-020_TB-020 / SOCIAL_TAX_ANNUAL_CASH_BONUS; Account 4015510050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годовой бонус, выплата / Total bonus cash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Выплата + Взносы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Годовой бонус / Bonus discretionary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Резерв + Сторно + Выплата (все — итоги с взносами)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Полная стоимость годового бонуса за период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компенсации и льготы / Total C&amp;B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ROLL-UP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ФОТ до бонуса + Годовой бонус + Корректировка резерва прошлых лет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Главный итог формы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% страховых взносов / % Social Security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RATIO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= (Social securities on salaries + Social Security on accruals for unused vacations + Social Security on Sick leave compensation + Social Security on Maternity leave + Social Security on Remaining Other Compensation + Social Security on Sign-ons - cash + Social Security on Severance + Social Security on Deferrals + Social Security on quarterly cash) / (Salary + Accruals for unused vacations + Sick leave compensation + Maternity leave + Remaining Other Compensation + Sign-ons - cash + Direct severance payments - cash + Deferred Compensation + Quarterly bonus cash)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Только на факт выплат, без резервов бонусов (см. раздел 10, №3)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Численность на основном месте / 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DERIVED KPI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Штатные сотрудники на конец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TBD — BA/SA: источник / статья / мера / фильтры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69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Численность – совместители / Part-time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CALCULATED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= Итого сотрудников − основное место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N/A — рассчитывается из строк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рассчитывается в форме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70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Итого сотрудников / Total Employees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SOURCE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SUM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Общая численность на конец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TBD — BA/SA: источник / статья / мера / фильтры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71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MSU на конец периода / 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DERIVED KPI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Сумма долей фиксированных окладов (MSU) по юрлицу и центрам затрат (MIR code) на конец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TBD — BA/SA: источник / статья / мера / фильтры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Сумма MSU сотрудника по всем юрлицам ≤ 1; 0 — при неоплачиваемом отпуске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72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ССЧ / Average headcount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DERIVED KPI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AVERAGE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Среднесписочная численность за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TBD — BA/SA: источник / статья / мера / фильтры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2"/>
                <w:szCs w:val="22"/>
                <w:lang w:val="en-US" w:eastAsia="en-US" w:bidi="ar-SA"/>
              </w:rPr>
              <w:t>Значение формируется в модели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2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sectPr>
          <w:footerReference w:type="default" r:id="rId3"/>
          <w:footerReference w:type="first" r:id="rId4"/>
          <w:type w:val="nextPage"/>
          <w:pgSz w:orient="landscape" w:w="15840" w:h="12240"/>
          <w:pgMar w:left="765" w:right="765" w:gutter="0" w:header="0" w:top="765" w:footer="720" w:bottom="765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9. Специальные показатели</w:t>
      </w:r>
    </w:p>
    <w:p>
      <w:pPr>
        <w:pStyle w:val="Heading2"/>
        <w:spacing w:after="0"/>
        <w:rPr>
          <w:rFonts w:ascii="Aptos" w:hAnsi="Aptos"/>
        </w:rPr>
      </w:pPr>
      <w:r>
        <w:rPr>
          <w:rFonts w:ascii="Aptos" w:hAnsi="Aptos"/>
        </w:rPr>
        <w:t>9.1. % страховых взносов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Исходная формула: сумма взносов на соответствующие выплаты / сумма соответствующих баз начислений; резервы бонусов исключаются. Для разработки требуется закрытый перечень Row ID в числителе и знаменателе.</w:t>
      </w:r>
    </w:p>
    <w:tbl>
      <w:tblPr>
        <w:tblW w:w="139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56"/>
        <w:gridCol w:w="6956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Требование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Numerator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Social securities on salaries + Social Security on accruals for unused vacations + Social Security on Sick leave compensation + Social Security on Maternity leave + Social Security on Remaining Other Compensation + Social Security on Sign-ons - cash + Social Security on Severance + Social Security on Deferrals + Social Security on quarterly cash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Denominator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Salary + Accruals for unused vacations + Sick leave compensation + Maternity leave + Remaining Other Compensation + Sign-ons - cash + Direct severance payments - cash + Deferred Compensation + Quarterly bonus cash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Zero denominator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Показывать «–», не рассчитывать процент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Aggregation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Для каждого столбца Факта и Бюджета: (Social securities on salaries + Social Security on accruals for unused vacations + Social Security on Sick leave compensation + Social Security on Maternity leave + Social Security on Remaining Other Compensation + Social Security on Sign-ons - cash + Social Security on Severance + Social Security on Deferrals + Social Security on quarterly cash) / (Salary + Accruals for unused vacations + Sick leave compensation + Maternity leave + Remaining Other Compensation + Sign-ons - cash + Direct severance payments - cash + Deferred Compensation + Quarterly bonus cash). Сначала агрегируются суммы числителя и знаменателя, затем рассчитывается отношение.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Связь с новой методологией соцвзносов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Отчёт должен использовать единый классификатор базы/взноса, а не отдельную независимую логику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2"/>
        <w:spacing w:after="0"/>
        <w:rPr>
          <w:rFonts w:ascii="Aptos" w:hAnsi="Aptos"/>
        </w:rPr>
      </w:pPr>
      <w:r>
        <w:rPr>
          <w:rFonts w:ascii="Aptos" w:hAnsi="Aptos"/>
        </w:rPr>
        <w:t>9.2. HC Closing / MSU Closing / ССЧ</w:t>
      </w:r>
    </w:p>
    <w:tbl>
      <w:tblPr>
        <w:tblW w:w="139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7"/>
        <w:gridCol w:w="4637"/>
        <w:gridCol w:w="46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Бизнес-смысл из исходной версии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Что требуется для реализации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HC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Штатные сотрудники на основном месте на конец периода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Использовать готовое соответствующее поле/показатель бюджетной системы. Дополнительный расчёт в форме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MSU Closing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Сумма MSU по юрлицу и MIR на конец периода; по сотруднику ≤ 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Использовать готовое соответствующее поле/показатель бюджетной системы. Дополнительный расчёт в форме не выполняется.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ССЧ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Среднесписочная численность за период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Открыто — требуется определить источник готового показателя либо формулу расчёта.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10. Где выполняются расчёты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Исходная версия предлагает считать итоговые строки и блок Δ на стороне отчёта. Для переиспользуемых корпоративных метрик это архитектурно рискованно: разные отчёты могут реализовать одну метрику по-разному.</w:t>
      </w:r>
    </w:p>
    <w:tbl>
      <w:tblPr>
        <w:tblW w:w="13911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7"/>
        <w:gridCol w:w="4637"/>
        <w:gridCol w:w="4637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Класс расчёта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Предлагаемый слой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Комментарий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Исходные строки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Модель данных / расчётный слой системы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Отчёт получает значения по согласованному маппингу бюджетных компонентов и версий.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Итоговые строки FIX / Variable / Total C&amp;B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Допустим расчёт в форме по утверждённым формулам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Отдельное решение Tech Lead требуется только если эти показатели должны стать общесистемными переиспользуемыми метриками для нескольких отчётов.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Δ Fact vs Budget, Δ ДРП/ФД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Расчётная логика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Рассчитываются по утверждённым формулам на данных выбранных версий.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5"/>
                <w:szCs w:val="22"/>
                <w:lang w:val="en-US" w:eastAsia="en-US" w:bidi="ar-SA"/>
              </w:rPr>
              <w:t>Форматирование, скобки, прочерк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Слой представления отчёта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Только отображение: формат числа, скобки, прочерк, условное форматирование.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11. Контроль качества и acceptance criteria</w:t>
      </w:r>
    </w:p>
    <w:tbl>
      <w:tblPr>
        <w:tblW w:w="13914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9"/>
        <w:gridCol w:w="2318"/>
        <w:gridCol w:w="2320"/>
        <w:gridCol w:w="2319"/>
        <w:gridCol w:w="2318"/>
        <w:gridCol w:w="232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Контроль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Формула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Tolerance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3"/>
                <w:szCs w:val="22"/>
                <w:lang w:val="en-US" w:eastAsia="en-US" w:bidi="ar-SA"/>
              </w:rPr>
              <w:t>Действие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QC-01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Итого C&amp;B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R66 = R51 + R55 + R65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ERROR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0 / техническая точность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Форма не должна публиковаться при нарушении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QC-02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Сверка ДРП/ФД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ABS(HR_R66 − FIN_R66) &lt;= tolerance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WARNING/ERROR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ТРЕБУЕТ РЕШЕНИЯ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Вывести расхождение на разбор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QC-03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MSU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MSU PersonID &lt;= 1 и MSU &gt;= 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ERROR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Флаг качества данных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QC-04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Unmapped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Сумма непомаппированных статей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ERROR/WARNING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ТРЕБУЕТ РЕШЕНИЯ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Не допускать тихого исключения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QC-05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Доля соцвзносов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Проверка выбросов относительно ожидаемого диапазона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WARNING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ТРЕБУЕТ РЕШЕНИЯ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Не использовать пример 18,5–21% как жёсткий порог без методологии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QC-06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Деление на ноль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Budget=0 или denominator=0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INFO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—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3"/>
                <w:szCs w:val="22"/>
                <w:lang w:val="en-US" w:eastAsia="en-US" w:bidi="ar-SA"/>
              </w:rPr>
              <w:t>Δ% / Ratio = «–»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12. Definition of Done для разработки формы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Все параметры формы реализованы и однозначно связаны с атрибутами модели данных.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Для каждой SOURCE-строки заполнен и согласован Source Mapping.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Все CALCULATED-строки воспроизводят утверждённые бизнес-формулы.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MTD/YTD/FY корректно работают для SUM, CLOSING, AVERAGE и RATIO.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ДРП и ФД формируются по согласованным правилам и имеют сопоставимый уровень детализации расчёта.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Δ Fact vs Budget и Δ ДРП/ФД соответствуют утверждённой sign convention.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Golden Sample из приложенного Excel воспроизводится в пределах согласованного tolerance.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QC-контроли выполняются; unmapped-данные не теряются молча.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Формат чисел, нулей и процентов соответствует макету.</w:t>
      </w:r>
    </w:p>
    <w:p>
      <w:pPr>
        <w:pStyle w:val="ListBullet"/>
        <w:numPr>
          <w:ilvl w:val="0"/>
          <w:numId w:val="2"/>
        </w:numPr>
        <w:spacing w:before="0" w:after="40"/>
        <w:contextualSpacing/>
        <w:rPr>
          <w:rFonts w:ascii="Aptos" w:hAnsi="Aptos"/>
        </w:rPr>
      </w:pPr>
      <w:r>
        <w:rPr>
          <w:rFonts w:ascii="Aptos" w:hAnsi="Aptos"/>
        </w:rPr>
        <w:t>Открытые вопросы, влияющие на расчёт, закрыты либо явно исключены из scope релиза.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13. Открытые вопросы / решения до передачи в разработку</w:t>
      </w:r>
    </w:p>
    <w:tbl>
      <w:tblPr>
        <w:tblW w:w="139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78"/>
        <w:gridCol w:w="3478"/>
        <w:gridCol w:w="3478"/>
        <w:gridCol w:w="3478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Вопрос / зафиксированное решение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Владелец / участники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4"/>
                <w:szCs w:val="22"/>
                <w:lang w:val="en-US" w:eastAsia="en-US" w:bidi="ar-SA"/>
              </w:rPr>
              <w:t>Статус / комментарий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Уровень детализации: статьи затрат (P&amp;L line) или показатели численности, соответствующие маппингу бюджетных компонентов, в разрезе ДРП/ФД и периодов MTD/YTD/FY.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BA/SA + Tech Lead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 на бизнес-уровне; BA/SA фиксирует поля модели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Факт — одна версия, подставляется автоматически. Бюджет ДРП и бюджет ФД — отдельные выбираемые параметры с дефолтом и возможностью корректировки.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Владелец формы + BA/SA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 на бизнес-уровне; коды/списки —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ДРП и ФД загружаются как разные версии бюджетной системы; код версии однозначно определяет источник.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BA/SA + Tech Lead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 на бизнес-уровне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Маппинг выполняется по приложенному справочнику бюджетных компонентов dbo.tbl_D_COMPONENT.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BA/SA + методолог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Частично закрыто; неоднозначные строки помечены в матрице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Как обрабатываются непромаппированные статьи?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Владелец формы + Tech Lead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Как определяется «Оставшийся бюджет»?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Владелец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Q-07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Сторно имеет отрицательный знак как отмена ранее начисленной суммы.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Finance/BA + Tech Lead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Закрыто; техническая проверка знака источника — BA/SA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Q-08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Формула % соцвзносов: (13+16+19+22+29+32+35+38+48)/(12+15+18+21+28+31+34+37+47) для каждого столбца Факта и Бюджета.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Методолог соцвзносов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Q-09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HC Closing и MSU Closing берутся из готовых полей бюджетной системы; по ССЧ логика уточняется.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HR методолог + BA/SA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Частично закрыто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Q-10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Итоговые строки могут рассчитываться в форме по утверждённым формулам. Решение Tech Lead нужно только при вынесении их в общесистемные переиспользуемые метрики.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Tech Lead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 для данной формы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Q-11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Как работает капитализация incl./excl. в ДРП и ФД?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Finance + владелец формы + BA/SA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Q-12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Какой tolerance и регламент разбора Δ ДРП/ФД?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Владелец формы + Finance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Q-13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Подтвердить логику квартальной премии: резерв / сторно / выплата.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Владелец формы + HR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Открыто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Q-14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Drill-down до MIR × Article × Month × Version в рамках данной формы не требуется.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 w:val="false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 w:val="false"/>
                <w:kern w:val="0"/>
                <w:sz w:val="14"/>
                <w:szCs w:val="22"/>
                <w:lang w:val="en-US" w:eastAsia="en-US" w:bidi="ar-SA"/>
              </w:rPr>
              <w:t>Владелец формы + пользователи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2F0D9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4"/>
                <w:szCs w:val="22"/>
                <w:lang w:val="en-US" w:eastAsia="en-US" w:bidi="ar-SA"/>
              </w:rPr>
              <w:t>Закрыто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14. Роли при согласовании и реализации</w:t>
      </w:r>
    </w:p>
    <w:tbl>
      <w:tblPr>
        <w:tblW w:w="13912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56"/>
        <w:gridCol w:w="6956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Ответственность по этой форме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Методолог / владелец формы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Бизнес-смысл строк, иерархия, формулы, временная логика, sign convention, ожидаемый результат и Golden Sample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BA/SA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Маппинг на модель данных, уровень детализации расчёта, атрибуты, версии, фильтры, системные правила и трассировка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Tech Lead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Архитектурная реализуемость, слой расчёта, переиспользование метрик, технические ограничения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Developer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Техническая реализация без самостоятельного изменения бизнес-методологии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Tester / Methodologist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Проверка Golden Sample, acceptance criteria и edge cases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Finance / HR domain owner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Mandatory approval для правил, затрагивающих соответствующий домен</w:t>
            </w:r>
          </w:p>
        </w:tc>
      </w:tr>
    </w:tbl>
    <w:p>
      <w:pPr>
        <w:pStyle w:val="Normal"/>
        <w:spacing w:before="0" w:after="20"/>
        <w:rPr/>
      </w:pPr>
      <w:r>
        <w:rPr>
          <w:rFonts w:ascii="Aptos" w:hAnsi="Aptos"/>
        </w:rPr>
      </w:r>
    </w:p>
    <w:sectPr>
      <w:footerReference w:type="default" r:id="rId5"/>
      <w:footerReference w:type="first" r:id="rId6"/>
      <w:type w:val="nextPage"/>
      <w:pgSz w:w="15840" w:h="12240"/>
      <w:pgMar w:left="765" w:right="765" w:gutter="0" w:header="0" w:top="765" w:footer="72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ptos" w:hAnsi="Aptos"/>
        <w:color w:val="787878"/>
        <w:sz w:val="16"/>
      </w:rPr>
    </w:pPr>
    <w:r>
      <w:rPr>
        <w:color w:val="787878"/>
        <w:sz w:val="16"/>
      </w:rPr>
      <w:t>Form 1 — Компенсационные расходы (ФОТ) | Functional Design v1.0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ptos" w:hAnsi="Aptos"/>
        <w:color w:val="787878"/>
        <w:sz w:val="16"/>
      </w:rPr>
    </w:pPr>
    <w:r>
      <w:rPr>
        <w:color w:val="787878"/>
        <w:sz w:val="16"/>
      </w:rPr>
      <w:t>Form 1 — Компенсационные расходы (ФОТ) | Functional Design v1.0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ptos" w:hAnsi="Aptos"/>
        <w:color w:val="787878"/>
        <w:sz w:val="16"/>
      </w:rPr>
    </w:pPr>
    <w:r>
      <w:rPr>
        <w:color w:val="787878"/>
        <w:sz w:val="16"/>
      </w:rPr>
      <w:t>Form 1 — Компенсационные расходы (ФОТ) | Functional Design v1.0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  <w:sz w:val="21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b/>
      <w:color w:val="17365D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Callout">
    <w:name w:val="Callout"/>
    <w:qFormat/>
    <w:pPr>
      <w:widowControl/>
      <w:kinsoku w:val="true"/>
      <w:overflowPunct w:val="true"/>
      <w:autoSpaceDE w:val="true"/>
      <w:bidi w:val="0"/>
      <w:spacing w:lineRule="auto" w:line="276" w:before="80" w:after="80"/>
      <w:jc w:val="start"/>
    </w:pPr>
    <w:rPr>
      <w:rFonts w:ascii="Aptos" w:hAnsi="Aptos" w:eastAsia="ＭＳ 明朝"/>
      <w:b/>
      <w:color w:val="17365D"/>
      <w:kern w:val="0"/>
      <w:sz w:val="19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28</Pages>
  <Words>4430</Words>
  <Characters>28327</Characters>
  <CharactersWithSpaces>31978</CharactersWithSpaces>
  <Paragraphs>906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