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after="0"/>
        <w:rPr>
          <w:rFonts w:ascii="Aptos" w:hAnsi="Aptos"/>
        </w:rPr>
      </w:pPr>
      <w:r>
        <w:rPr>
          <w:rFonts w:ascii="Aptos" w:hAnsi="Aptos"/>
        </w:rPr>
        <w:t>Форма 2. Компенсационные расходы (ФОТ), структура МИР кодов</w:t>
      </w:r>
    </w:p>
    <w:p>
      <w:pPr>
        <w:pStyle w:val="Subtitle"/>
        <w:spacing w:after="0"/>
        <w:rPr>
          <w:rFonts w:ascii="Aptos" w:hAnsi="Aptos"/>
        </w:rPr>
      </w:pPr>
      <w:r>
        <w:rPr>
          <w:rFonts w:ascii="Aptos" w:hAnsi="Aptos"/>
        </w:rPr>
        <w:t>Функциональный дизайн / спецификация отчёта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Версия документа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1.0 — первая версия для технического ревью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 макета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Reports forms_09.09.2026.xlsx / Regular_PL_by BU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DRAFT — техническое и методологическое согласование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Основной проверяющий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Tech Lead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1. Назначение формы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Анализ компенсационных расходов в разрезе финансовой структуры: контроль фактических и бюджетных расходов по MIR-иерархии и выявление отклонений по уровням структуры кост-центров.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Правило формирования колонок по Global Unit. При выборе нескольких Global Unit в MIR-структуре форма расширяется вправо: каждый выбранный Global Unit добавляется как отдельный блок колонок с предусмотренными макетом расчётными показателями.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Если одновременно выбрано несколько юридических лиц, данные по ним агрегируются суммированием внутри каждого выводимого элемента MIR-структуры / Global Unit. Отдельные блоки по юридическим лицам, как в Форме 1, не создаются.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2. Параметры формы и выбор версий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Пример в макете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Новый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Юр.Лицо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Множественный выбор. При выборе нескольких юридических лиц значения суммируются; отдельные блоки по юридическим лицам не формируются.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BU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Множественный выбор Global Unit. Каждый выбранный Global Unit выводится отдельным блоком колонок справа; форма расширяется на количество выбранных элементов.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Currency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Руб.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Формат представления; для текущей версии — рубли.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2026-06-01 00:00:00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Определяет отчётный период / год и временные колонки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Капитализация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excl.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</w:tbl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Версия факта выбирается системой автоматически и пользователем не изменяется. Версия бюджета ДРП и версия бюджета ФД должны быть доступны как отдельные параметры: система подставляет значения по умолчанию, пользователь может выбрать другую допустимую бюджетную версию.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3. Уровень детализации расчёта и источник данных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Значения формируются по бюджетным компонентам/статьям затрат или показателям численности с учётом выбранных параметров формы. До вывода в отчёт данные агрегируются до разрезов, представленных в макете. Конкретные поля модели и технический маппинг фиксируются BA/SA в технической постановке без изменения бизнес-логики формы.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Элемент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Требование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Куб бюджетной системы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Организационный разрез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BU / MIR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Временной разрез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MTD / YTD / FY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ДРП и 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Используются разные версии данных бюджетной системы; версия однозначно определяет источник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Непромаппированные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 правило обработки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4. Правила формирования показателей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Для каждой строки ниже фиксируется смысл показателя и способ формирования значения. Значение может (1) поступать из модели по маппингу бюджетного компонента либо (2) рассчитываться непосредственно в форме из уже полученных показателей. Формулы в этой таблице являются нормативной бизнес-логикой данной формы.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35"/>
        <w:gridCol w:w="2635"/>
        <w:gridCol w:w="2635"/>
        <w:gridCol w:w="2635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Наименование в модели/макете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Где формируется значение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Формула / 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securities on salaries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Salary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=SUM(D13:D14)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=SUM(D16:D17)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=SUM(D19:D20)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=SUM(D22:D23)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Фиксированное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FIX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=D15+D18+D21+D24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Расходы на страхование (ДМС, НС)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Health &amp; welfare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бенефиты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Other benefits - Non-state mandated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Бенефиты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Benefits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=SUM(D29:D30)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=SUM(D32:D33)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Direct severance payments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Severance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Direct severance payments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=SUM(D35:D36)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Deferred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Deferrals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Deferred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=SUM(D38:D39)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компенсационные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Other Compensations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=D31+D34+D37+D40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=SUM(D42:D43)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=SUM(D45:D46)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Квартальная премия,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Quarterly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квартальная премия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квртальная премия,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Quarterly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=SUM(D48:D49)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Квартальная премия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=D50+D47+D44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ФОТ до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FIX compensation before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=D51+D41+D28+D25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contribution to social secur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=SUM(D53:D54)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discretionary Bonus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=SUM(D57:D58)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Сторно резерва годового бонуса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сторно резерва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сторно резерва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 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=SUM(D60:D61)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Bonus discretionary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=SUM(D63:D64)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=D65+D62+D59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компенсации и льготы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Compencation &amp; Benefits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=D52+D66+D56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% страховых взносов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% Social Security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=(D14+D17+D20+D23+D30+D33+D36+D39)/(D13+D16+D19+D22+D29+D32+D35+D38)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Численность сотрудников на основном месте работы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HC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Численность сотрудников - совместителей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Part-time contracts employees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сотрудников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Eployees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=D71-E71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MSU на коннец периода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MSU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ССЧ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ССЧ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=B18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=C18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=B19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=C19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=B20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=C20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=B21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=C21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</w:tbl>
    <w:p>
      <w:pPr>
        <w:pStyle w:val="Normal"/>
        <w:spacing w:after="0"/>
        <w:rPr>
          <w:rFonts w:ascii="Aptos" w:hAnsi="Aptos"/>
          <w:b/>
          <w:color w:val="2F75B5"/>
          <w:sz w:val="25"/>
        </w:rPr>
      </w:pPr>
      <w:r>
        <w:rPr>
          <w:rFonts w:ascii="Aptos" w:hAnsi="Aptos"/>
          <w:b/>
          <w:color w:val="2F75B5"/>
          <w:sz w:val="25"/>
        </w:rPr>
        <w:t>Правила расчёта квартального и годового бонусов</w:t>
      </w:r>
    </w:p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Правила ниже применяются к формам бюджетной системы, содержащим соответствующие компоненты. Для ФД/Finance значения по статьям переносятся из соответствующих версий и периодов согласно мэппингу компонентов без дополнительного перерасчёта формы.</w:t>
      </w:r>
    </w:p>
    <w:p>
      <w:pPr>
        <w:pStyle w:val="Normal"/>
        <w:spacing w:after="0"/>
        <w:rPr>
          <w:rFonts w:ascii="Aptos" w:hAnsi="Aptos"/>
          <w:b/>
          <w:color w:val="17365D"/>
          <w:sz w:val="21"/>
        </w:rPr>
      </w:pPr>
      <w:r>
        <w:rPr>
          <w:rFonts w:ascii="Aptos" w:hAnsi="Aptos"/>
          <w:b/>
          <w:color w:val="17365D"/>
          <w:sz w:val="21"/>
        </w:rPr>
        <w:t>Квартальный бонус — ДРП/HR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Определить квартал выбранного месяца; взять расчётное значение компонента из последнего месяца квартала; разделить на 3.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Accruals for Quarterly bonus; Social Security on Accruals for Quarterly bonus; Reverse Accruals for Quarterly bonus; 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Сумма полных закрытых кварталов + доля текущего квартала: 1/3, 2/3 или 3/3 в зависимости от номера месяца внутри квартала. Квартальное значение берётся из последнего месяца соответствующего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Фактическая сумма из 1С относится к кварталу начисления: переносится из месяца фактической выплаты в последний месяц предшествующего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Quarterly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Social Security on quarterly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Quarterly bonus cash: отрицательная сумма Accruals for Quarterly bonus за три месяца соответствующего квартала;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Social Security on quarterly cash: отрицательная сумма Social Security on Accruals for Quarterly bonus за три месяца соответствующего квартала; иначе 0.</w:t>
            </w:r>
          </w:p>
        </w:tc>
      </w:tr>
    </w:tbl>
    <w:p>
      <w:pPr>
        <w:pStyle w:val="Normal"/>
        <w:spacing w:after="0"/>
        <w:rPr>
          <w:rFonts w:ascii="Aptos" w:hAnsi="Aptos"/>
          <w:b/>
          <w:color w:val="17365D"/>
          <w:sz w:val="21"/>
        </w:rPr>
      </w:pPr>
      <w:r>
        <w:rPr>
          <w:rFonts w:ascii="Aptos" w:hAnsi="Aptos"/>
          <w:b/>
          <w:color w:val="17365D"/>
          <w:sz w:val="21"/>
        </w:rPr>
        <w:t>Годовой бонус — ДРП/HR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Взять расчётное значение компонента из декабря соответствующего года и разделить на 12.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Accrual; Social Security on discretionary Bonus Accrual; Reverse Bonus discretionary Accrual; 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Доля годового начисления определяется номером месяца: n/12. Годовое значение берётся из декабря соответствующего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Фактическая сумма из 1С относится к году начисления: переносится из месяца фактической выплаты в декабрь предшествующего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Bonus discretionary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discretionary Bonus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Social Security on discretionary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Bonus discretionary cash: отрицательная сумма Bonus discretionary Accrual за 12 месяцев соответствующего года;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Social Security on discretionary Bonus cash: отрицательная сумма Social Security on discretionary Bonus Accrual за 12 месяцев соответствующего года; иначе 0.</w:t>
            </w:r>
          </w:p>
        </w:tc>
      </w:tr>
    </w:tbl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Правило сторно: сторно формируется отрицательным значением в соответствии с методологией; форма не выполняет дополнительное изменение знака.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5. Знаки и отклонения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Сторно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 определению отрицательное значение — отмена ранее начисленной суммы. Система не должна повторно менять знак.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 Факт / Бюджет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− Бюджет.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 ДРП / 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ДРП − ФД, если блок предусмотрен макетом.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Δ%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Бюджет − 1; при Бюджет = 0 отображается «–».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6. Контроли и критерии приёмки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Параметры формы фильтруют данные согласно макету.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Расчётные строки воспроизводят формулы макета.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Значения по исходным строкам соответствуют согласованному маппингу бюджетных компонентов.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Нулевые знаменатели не приводят к ошибке отчёта.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Формат чисел, процентов и знаков соответствует макету.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Контрольный пример (Golden Sample) воспроизводится в пределах согласованной точности.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7. Открытые вопросы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Вопрос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Правило обработки непромаппированных статей.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Правила капитализации incl./excl., если параметр присутствует.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Допустимое расхождение и регламент разбора ДРП/ФД, если сверка присутствует.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</w:tbl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>
          <w:rFonts w:ascii="Aptos" w:hAnsi="Aptos"/>
        </w:rPr>
      </w:r>
    </w:p>
    <w:sectPr>
      <w:type w:val="nextPage"/>
      <w:pgSz w:w="12240" w:h="15840"/>
      <w:pgMar w:left="765" w:right="765" w:gutter="0" w:header="0" w:top="765" w:footer="0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Aptos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Aptos" w:hAnsi="Aptos" w:eastAsia="ＭＳ 明朝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7</Pages>
  <Words>2313</Words>
  <Characters>15981</Characters>
  <CharactersWithSpaces>17875</CharactersWithSpaces>
  <Paragraphs>431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