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after="0"/>
        <w:rPr>
          <w:rFonts w:ascii="Aptos" w:hAnsi="Aptos"/>
        </w:rPr>
      </w:pPr>
      <w:r>
        <w:rPr>
          <w:rFonts w:ascii="Aptos" w:hAnsi="Aptos"/>
        </w:rPr>
        <w:t>Форма 3. Компенсационные расходы (ФОТ), Структура глобальных департаментов</w:t>
      </w:r>
    </w:p>
    <w:p>
      <w:pPr>
        <w:pStyle w:val="Subtitle"/>
        <w:spacing w:after="0"/>
        <w:rPr>
          <w:rFonts w:ascii="Aptos" w:hAnsi="Aptos"/>
        </w:rPr>
      </w:pPr>
      <w:r>
        <w:rPr>
          <w:rFonts w:ascii="Aptos" w:hAnsi="Aptos"/>
        </w:rPr>
        <w:t>Функциональный дизайн / спецификация отчёта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Значение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Версия документа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1.0 — первая версия для технического ревью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Источник макета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Reports forms_09.09.2026.xlsx / Regular_PL_by GD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Статус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DRAFT — техническое и методологическое согласование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Основной проверяющий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Tech Lead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1. Назначение формы</w:t>
      </w:r>
    </w:p>
    <w:p>
      <w:pPr>
        <w:pStyle w:val="Normal"/>
        <w:spacing w:after="0"/>
        <w:rPr>
          <w:rFonts w:ascii="Aptos" w:hAnsi="Aptos"/>
          <w:sz w:val="19"/>
        </w:rPr>
      </w:pPr>
      <w:r>
        <w:rPr>
          <w:rFonts w:ascii="Aptos" w:hAnsi="Aptos"/>
          <w:sz w:val="19"/>
        </w:rPr>
        <w:t>Анализ компенсационных расходов в разрезе функциональной структуры: контроль фактических и бюджетных расходов по Global Departments и выявление подразделений, формирующих отклонения.</w:t>
      </w:r>
    </w:p>
    <w:p>
      <w:pPr>
        <w:pStyle w:val="Normal"/>
        <w:spacing w:after="0"/>
        <w:rPr>
          <w:rFonts w:ascii="Aptos" w:hAnsi="Aptos"/>
          <w:sz w:val="19"/>
        </w:rPr>
      </w:pPr>
      <w:r>
        <w:rPr>
          <w:rFonts w:ascii="Aptos" w:hAnsi="Aptos"/>
          <w:sz w:val="19"/>
        </w:rPr>
        <w:t>Правило формирования колонок по Global Departments. При выборе нескольких Global Departments либо группировок Business / Infrastructure форма расширяется вправо: каждый выбранный элемент добавляется как отдельный блок колонок с предусмотренными макетом расчётными показателями.</w:t>
      </w:r>
    </w:p>
    <w:p>
      <w:pPr>
        <w:pStyle w:val="Normal"/>
        <w:spacing w:after="0"/>
        <w:rPr>
          <w:rFonts w:ascii="Aptos" w:hAnsi="Aptos"/>
          <w:sz w:val="19"/>
        </w:rPr>
      </w:pPr>
      <w:r>
        <w:rPr>
          <w:rFonts w:ascii="Aptos" w:hAnsi="Aptos"/>
          <w:sz w:val="19"/>
        </w:rPr>
        <w:t>Если одновременно выбрано несколько юридических лиц, данные по ним агрегируются суммированием внутри каждого выводимого элемента функциональной структуры. Отдельные блоки по юридическим лицам, как в Форме 1, не создаются.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2. Параметры формы и выбор версий</w:t>
      </w:r>
    </w:p>
    <w:tbl>
      <w:tblPr>
        <w:tblW w:w="10539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3"/>
        <w:gridCol w:w="3513"/>
        <w:gridCol w:w="3513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Пример в макете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Периметр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Новый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Пользовательский параметр формы.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Юр.Лицо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All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Множественный выбор. При выборе нескольких юридических лиц значения суммируются; отдельные блоки по юридическим лицам не формируются.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Глобальный департамент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All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Множественный выбор Global Departments или группировок Business / Infrastructure. Каждый выбранный элемент выводится отдельным блоком колонок справа; форма расширяется на количество выбранных элементов.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Currency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Руб.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Формат представления; для текущей версии — рубли.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Период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2026-06-01 00:00:00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Определяет отчётный период / год и временные колонки формы.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Капитализация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excl.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Пользовательский параметр формы.</w:t>
            </w:r>
          </w:p>
        </w:tc>
      </w:tr>
    </w:tbl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Версия факта выбирается системой автоматически и пользователем не изменяется. Версия бюджета ДРП и версия бюджета ФД должны быть доступны как отдельные параметры: система подставляет значения по умолчанию, пользователь может выбрать другую допустимую бюджетную версию.</w:t>
      </w:r>
    </w:p>
    <w:p>
      <w:pPr>
        <w:pStyle w:val="Heading1"/>
        <w:spacing w:after="0"/>
        <w:rPr/>
      </w:pPr>
      <w:r>
        <w:rPr>
          <w:rFonts w:ascii="Aptos" w:hAnsi="Aptos"/>
        </w:rPr>
        <w:t>3. Уровень детализации расчёта и источник данных</w:t>
      </w:r>
    </w:p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Значения формируются по бюджетным компонентам/статьям затрат или показателям численности с учётом выбранных параметров формы. До вывода в отчёт данные агрегируются до разрезов, представленных в макете. Конкретные поля модели и технический маппинг фиксируются BA/SA в технической постановке без изменения бизнес-логики формы.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Элемент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Требование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Источник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Куб бюджетной системы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Организационный разрез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Global Department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Временной разрез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MTD / YTD / FY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ДРП и ФД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Используются разные версии данных бюджетной системы; версия однозначно определяет источник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Непромаппированные статьи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 правило обработки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4. Правила формирования показателей</w:t>
      </w:r>
    </w:p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Для каждой строки ниже фиксируется смысл показателя и способ формирования значения. Значение может (1) поступать из модели по маппингу бюджетного компонента либо (2) рассчитываться непосредственно в форме из уже полученных показателей. Формулы в этой таблице являются нормативной бизнес-логикой данной формы.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35"/>
        <w:gridCol w:w="2635"/>
        <w:gridCol w:w="2635"/>
        <w:gridCol w:w="2635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Показатель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Наименование в модели/макете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Где формируется значение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Формула / правило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Оклад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оклад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securities on salaries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оклад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Salary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=SUM(D13:D14)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на отпуск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Accruals for unused vacations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резерв на отпуск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accruals for unused vacations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резерв на отпуск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Accruals for unused vacations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=SUM(D16:D17)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Оплата больничных листов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Sick leave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оплата больничных листов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Sick leave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оплата больничных листов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Sick leave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=SUM(D19:D20)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Декрет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Maternity leave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декрет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Maternity leave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декрет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Maternity leave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=SUM(D22:D23)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Фиксированное вознаграждение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FIX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=D15+D18+D21+D24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Расходы на страхование (ДМС, НС)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Health &amp; welfare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Прочие бенефиты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Other benefits - Non-state mandated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Бенефиты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Benefits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Прочие выплаты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Remaining Other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прочие выплаты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Remaining Other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прочие выплаты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Remaining Other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=SUM(D29:D30)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Премия разовая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Sign-ons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премия разовая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Sign-ons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премия разовая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Sign-ons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=SUM(D32:D33)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Выплаты при увольнении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Direct severance payments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выплаты при увольнении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Severance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выплаты при увольнении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Direct severance payments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=SUM(D35:D36)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Отложенное вознаграждение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Deferred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отложенное вознаграждение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Deferrals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отложенное вознаграждение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Deferred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=SUM(D38:D39)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Прочие компенсационные выплаты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Other Compensations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=D31+D34+D37+D40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резерв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резерв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=SUM(D42:D43)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Сторно резерва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сторно резерва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сторно резерва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=SUM(D45:D46)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Квартальная премия, выплата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Quarterly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квартальная премия выплата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квртальная премия, выплата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Quarterly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=SUM(D48:D49)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Квартальная премия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=D50+D47+D44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ФОТ до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FIX compensation before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=D51+D41+D28+D25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бонуса прошлых лет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Under-/overaccruals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резерв бонуса прошлых лет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Under-/overaccruals - contribution to social secur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Резерв бонуса прошлых лет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Under-/overaccruals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=SUM(D53:D54)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бонуса прошлых лет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Under-/overaccruals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резерв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discretionary Bonus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резерв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=SUM(D57:D58)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Сторно резерва годового бонуса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Reverse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сторно резерва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сторно резерва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 Reverse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=SUM(D60:D61)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Годовой бонус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Bonus discretionary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годовой бонус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годовой бонус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Bonus discretionary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=SUM(D63:D64)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Годовой бонус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Bonus discretionary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=D65+D62+D59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компенсации и льготы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Compencation &amp; Benefits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=D52+D66+D56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% страховых взносов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% Social Security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=(D14+D17+D20+D23+D30+D33+D36+D39)/(D13+D16+D19+D22+D29+D32+D35+D38)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Численность сотрудников на основном месте работы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HC Closing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Численность сотрудников - совместителей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Part-time contracts employees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сотрудников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Eployees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=D71-E71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MSU на коннец периода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MSU Closing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ССЧ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ССЧ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</w:tbl>
    <w:p>
      <w:pPr>
        <w:pStyle w:val="Normal"/>
        <w:spacing w:after="0"/>
        <w:rPr>
          <w:rFonts w:ascii="Aptos" w:hAnsi="Aptos"/>
          <w:b/>
          <w:color w:val="2F75B5"/>
          <w:sz w:val="25"/>
        </w:rPr>
      </w:pPr>
      <w:r>
        <w:rPr>
          <w:rFonts w:ascii="Aptos" w:hAnsi="Aptos"/>
          <w:b/>
          <w:color w:val="2F75B5"/>
          <w:sz w:val="25"/>
        </w:rPr>
        <w:t>Правила расчёта квартального и годового бонусов</w:t>
      </w:r>
    </w:p>
    <w:p>
      <w:pPr>
        <w:pStyle w:val="Normal"/>
        <w:spacing w:after="0"/>
        <w:rPr>
          <w:rFonts w:ascii="Aptos" w:hAnsi="Aptos"/>
          <w:b w:val="false"/>
          <w:sz w:val="19"/>
        </w:rPr>
      </w:pPr>
      <w:r>
        <w:rPr>
          <w:rFonts w:ascii="Aptos" w:hAnsi="Aptos"/>
          <w:b w:val="false"/>
          <w:sz w:val="19"/>
        </w:rPr>
        <w:t>Правила ниже применяются к формам бюджетной системы, содержащим соответствующие компоненты. Для ФД/Finance значения по статьям переносятся из соответствующих версий и периодов согласно мэппингу компонентов без дополнительного перерасчёта формы.</w:t>
      </w:r>
    </w:p>
    <w:p>
      <w:pPr>
        <w:pStyle w:val="Normal"/>
        <w:spacing w:after="0"/>
        <w:rPr>
          <w:rFonts w:ascii="Aptos" w:hAnsi="Aptos"/>
          <w:b/>
          <w:color w:val="17365D"/>
          <w:sz w:val="21"/>
        </w:rPr>
      </w:pPr>
      <w:r>
        <w:rPr>
          <w:rFonts w:ascii="Aptos" w:hAnsi="Aptos"/>
          <w:b/>
          <w:color w:val="17365D"/>
          <w:sz w:val="21"/>
        </w:rPr>
        <w:t>Квартальный бонус — ДРП/HR</w:t>
      </w:r>
    </w:p>
    <w:tbl>
      <w:tblPr>
        <w:tblW w:w="10539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3"/>
        <w:gridCol w:w="3513"/>
        <w:gridCol w:w="3513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Версия / период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 формирования значения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Quarterly bonus cash; 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Определить квартал выбранного месяца; взять расчётное значение компонента из последнего месяца квартала; разделить на 3.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Accruals for Quarterly bonus; Social Security on Accruals for Quarterly bonus; Reverse Accruals for Quarterly bonus; Social Security on 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Значение =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YTD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Quarterly bonus cash; 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Сумма полных закрытых кварталов + доля текущего квартала: 1/3, 2/3 или 3/3 в зависимости от номера месяца внутри квартала. Квартальное значение берётся из последнего месяца соответствующего квартала.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FY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Соответствующие статьи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Используется готовый рассчитанный годовой бюджет из выбранной бюджетной версии; дополнительный расчёт формы не выполняется.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Quarterly bonus cash; 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Фактическая сумма из 1С относится к кварталу начисления: переносится из месяца фактической выплаты в последний месяц предшествующего квартала.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Равно расчётному значению Quarterly bonus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Social Security on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Равно расчётному значению Social Security on quarterly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Если в выбранном месяце есть факт Quarterly bonus cash: отрицательная сумма Accruals for Quarterly bonus за три месяца соответствующего квартала; иначе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Social Security on 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Если в выбранном месяце есть факт Social Security on quarterly cash: отрицательная сумма Social Security on Accruals for Quarterly bonus за три месяца соответствующего квартала; иначе 0.</w:t>
            </w:r>
          </w:p>
        </w:tc>
      </w:tr>
    </w:tbl>
    <w:p>
      <w:pPr>
        <w:pStyle w:val="Normal"/>
        <w:spacing w:after="0"/>
        <w:rPr>
          <w:rFonts w:ascii="Aptos" w:hAnsi="Aptos"/>
          <w:b/>
          <w:color w:val="17365D"/>
          <w:sz w:val="21"/>
        </w:rPr>
      </w:pPr>
      <w:r>
        <w:rPr>
          <w:rFonts w:ascii="Aptos" w:hAnsi="Aptos"/>
          <w:b/>
          <w:color w:val="17365D"/>
          <w:sz w:val="21"/>
        </w:rPr>
        <w:t>Годовой бонус — ДРП/HR</w:t>
      </w:r>
    </w:p>
    <w:tbl>
      <w:tblPr>
        <w:tblW w:w="10539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3"/>
        <w:gridCol w:w="3513"/>
        <w:gridCol w:w="3513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Версия / период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 формирования значения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cash; 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Взять расчётное значение компонента из декабря соответствующего года и разделить на 12.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Accrual; Social Security on discretionary Bonus Accrual; Reverse Bonus discretionary Accrual; Social Security on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Значение =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YTD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cash; 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Доля годового начисления определяется номером месяца: n/12. Годовое значение берётся из декабря соответствующего года.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FY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Соответствующие статьи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Используется готовый рассчитанный годовой бюджет из выбранной бюджетной версии; дополнительный расчёт формы не выполняется.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cash; 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Фактическая сумма из 1С относится к году начисления: переносится из месяца фактической выплаты в декабрь предшествующего года.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Равно расчётному значению Bonus discretionary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Social Security on discretionary Bonus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Равно расчётному значению Social Security on discretionary Bonus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Reverse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Если в выбранном месяце есть факт Bonus discretionary cash: отрицательная сумма Bonus discretionary Accrual за 12 месяцев соответствующего года; иначе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Social Security on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Если в выбранном месяце есть факт Social Security on discretionary Bonus cash: отрицательная сумма Social Security on discretionary Bonus Accrual за 12 месяцев соответствующего года; иначе 0.</w:t>
            </w:r>
          </w:p>
        </w:tc>
      </w:tr>
    </w:tbl>
    <w:p>
      <w:pPr>
        <w:pStyle w:val="Normal"/>
        <w:spacing w:after="0"/>
        <w:rPr>
          <w:rFonts w:ascii="Aptos" w:hAnsi="Aptos"/>
          <w:b w:val="false"/>
          <w:sz w:val="19"/>
        </w:rPr>
      </w:pPr>
      <w:r>
        <w:rPr>
          <w:rFonts w:ascii="Aptos" w:hAnsi="Aptos"/>
          <w:b w:val="false"/>
          <w:sz w:val="19"/>
        </w:rPr>
        <w:t>Правило сторно: сторно формируется отрицательным значением в соответствии с методологией; форма не выполняет дополнительное изменение знака.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5. Знаки и отклонения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Показатель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Сторно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 определению отрицательное значение — отмена ранее начисленной суммы. Система не должна повторно менять знак.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Δ Факт / Бюджет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− Бюджет.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Δ ДРП / ФД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ДРП − ФД, если блок предусмотрен макетом.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Δ%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Бюджет − 1; при Бюджет = 0 отображается «–».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6. Контроли и критерии приёмки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Параметры формы фильтруют данные согласно макету.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Расчётные строки воспроизводят формулы макета.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Значения по исходным строкам соответствуют согласованному маппингу бюджетных компонентов.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Нулевые знаменатели не приводят к ошибке отчёта.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Формат чисел, процентов и знаков соответствует макету.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Контрольный пример (Golden Sample) воспроизводится в пределах согласованной точности.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7. Открытые вопросы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Вопрос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Статус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Правило обработки непромаппированных статей.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Правила капитализации incl./excl., если параметр присутствует.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Допустимое расхождение и регламент разбора ДРП/ФД, если сверка присутствует.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</w:tbl>
    <w:p>
      <w:pPr>
        <w:pStyle w:val="Normal"/>
        <w:widowControl/>
        <w:bidi w:val="0"/>
        <w:spacing w:lineRule="auto" w:line="276" w:before="0" w:after="120"/>
        <w:jc w:val="start"/>
        <w:rPr/>
      </w:pPr>
      <w:r>
        <w:rPr>
          <w:rFonts w:ascii="Aptos" w:hAnsi="Aptos"/>
        </w:rPr>
      </w:r>
    </w:p>
    <w:sectPr>
      <w:type w:val="nextPage"/>
      <w:pgSz w:w="12240" w:h="15840"/>
      <w:pgMar w:left="765" w:right="765" w:gutter="0" w:header="0" w:top="765" w:footer="0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Aptos"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urier">
    <w:altName w:val="Courier New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Aptos" w:hAnsi="Aptos" w:eastAsia="ＭＳ 明朝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DejaVu San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DejaVu Sans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DejaVu Sans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DejaVu Sans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DejaVu Sans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DejaVu Sans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DejaVu Sans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DejaVu Sans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DejaVu Sans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DejaVu Sans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DejaVu Sans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DejaVu Sans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DejaVu Sans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DejaVu Sans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DejaVu Sans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DejaVu Sans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DejaVu Sans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DejaVu Sans"/>
      <w:color w:val="17365D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7</Pages>
  <Words>2190</Words>
  <Characters>15294</Characters>
  <CharactersWithSpaces>17101</CharactersWithSpaces>
  <Paragraphs>395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