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after="0"/>
        <w:rPr>
          <w:rFonts w:ascii="Aptos" w:hAnsi="Aptos"/>
        </w:rPr>
      </w:pPr>
      <w:r>
        <w:rPr>
          <w:rFonts w:ascii="Aptos" w:hAnsi="Aptos"/>
        </w:rPr>
        <w:t>Форма 9. Target HC 2026 by MIR Structure</w:t>
      </w:r>
    </w:p>
    <w:p>
      <w:pPr>
        <w:pStyle w:val="Subtitle"/>
        <w:spacing w:after="0"/>
        <w:rPr>
          <w:rFonts w:ascii="Aptos" w:hAnsi="Aptos"/>
        </w:rPr>
      </w:pPr>
      <w:r>
        <w:rPr>
          <w:rFonts w:ascii="Aptos" w:hAnsi="Aptos"/>
        </w:rPr>
        <w:t>Функциональный дизайн / спецификация отчёта</w:t>
      </w:r>
    </w:p>
    <w:tbl>
      <w:tblPr>
        <w:tblW w:w="10540" w:type="dxa"/>
        <w:jc w:val="center"/>
        <w:tblInd w:w="0" w:type="dxa"/>
        <w:tblLayout w:type="autofit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70"/>
        <w:gridCol w:w="5270"/>
      </w:tblGrid>
      <w:tr>
        <w:trPr>
          <w:cantSplit/>
          <w:tblHeader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Параметр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Значение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Версия документа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1.0 — первая версия для технического ревью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Источник макета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HC Tracker forms_09.09.2026_обезличенно.xlsx /  Summary_MIR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Источник данных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HC Tracker Cube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Статус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DRAFT</w:t>
            </w:r>
          </w:p>
        </w:tc>
      </w:tr>
    </w:tbl>
    <w:p>
      <w:pPr>
        <w:pStyle w:val="Heading1"/>
        <w:spacing w:after="0"/>
        <w:rPr>
          <w:rFonts w:ascii="Aptos" w:hAnsi="Aptos"/>
        </w:rPr>
      </w:pPr>
      <w:r>
        <w:rPr>
          <w:rFonts w:ascii="Aptos" w:hAnsi="Aptos"/>
        </w:rPr>
        <w:t>1. Назначение формы</w:t>
      </w:r>
    </w:p>
    <w:p>
      <w:pPr>
        <w:pStyle w:val="Normal"/>
        <w:spacing w:after="0"/>
        <w:rPr>
          <w:rFonts w:ascii="Aptos" w:hAnsi="Aptos"/>
          <w:sz w:val="19"/>
        </w:rPr>
      </w:pPr>
      <w:r>
        <w:rPr>
          <w:rFonts w:ascii="Aptos" w:hAnsi="Aptos"/>
          <w:sz w:val="19"/>
        </w:rPr>
        <w:t>Контроль целевой и фактической численности по финансовой структуре: сопоставление Target и Actual HC по смешанной MIR-иерархии для выявления и локализации отклонений численности.</w:t>
      </w:r>
    </w:p>
    <w:p>
      <w:pPr>
        <w:pStyle w:val="Heading1"/>
        <w:spacing w:after="0"/>
        <w:rPr>
          <w:rFonts w:ascii="Aptos" w:hAnsi="Aptos"/>
        </w:rPr>
      </w:pPr>
      <w:r>
        <w:rPr>
          <w:rFonts w:ascii="Aptos" w:hAnsi="Aptos"/>
        </w:rPr>
        <w:t>2. Параметры и временные точки</w:t>
      </w:r>
    </w:p>
    <w:tbl>
      <w:tblPr>
        <w:tblW w:w="10540" w:type="dxa"/>
        <w:jc w:val="center"/>
        <w:tblInd w:w="0" w:type="dxa"/>
        <w:tblLayout w:type="autofit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70"/>
        <w:gridCol w:w="5270"/>
      </w:tblGrid>
      <w:tr>
        <w:trPr>
          <w:cantSplit/>
          <w:tblHeader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Параметр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Правило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Периметр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Выбранный организационный периметр; технический атрибут модели фиксирует BA/SA.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Дата отчёта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2026-04-29 00:00:00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Периоды сравнения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Декабрь 2025, текущий месяц 2026, декабрь 2026 — согласно макету. Текущий месяц должен определяться параметром даты отчёта.</w:t>
            </w:r>
          </w:p>
        </w:tc>
      </w:tr>
    </w:tbl>
    <w:p>
      <w:pPr>
        <w:pStyle w:val="Heading1"/>
        <w:spacing w:after="0"/>
        <w:rPr>
          <w:rFonts w:ascii="Aptos" w:hAnsi="Aptos"/>
        </w:rPr>
      </w:pPr>
      <w:r>
        <w:rPr>
          <w:rFonts w:ascii="Aptos" w:hAnsi="Aptos"/>
        </w:rPr>
        <w:t>3. Уровень детализации расчёта</w:t>
      </w:r>
    </w:p>
    <w:p>
      <w:pPr>
        <w:pStyle w:val="Normal"/>
        <w:spacing w:after="0"/>
        <w:rPr>
          <w:rFonts w:ascii="Aptos" w:hAnsi="Aptos"/>
        </w:rPr>
      </w:pPr>
      <w:r>
        <w:rPr>
          <w:rFonts w:ascii="Aptos" w:hAnsi="Aptos"/>
        </w:rPr>
        <w:t>Значения формируются из мер Target Closing и Actual Closing HC Tracker Cube на уровне сотрудника/вакансии и далее агрегируются по дополнительной отчётной иерархии. Для MIR-формы применяется смешанная иерархия кост-центров по правилам Mapping_MIR и специальным правилам классификации.</w:t>
      </w:r>
    </w:p>
    <w:p>
      <w:pPr>
        <w:pStyle w:val="Heading1"/>
        <w:spacing w:after="0"/>
        <w:rPr>
          <w:rFonts w:ascii="Aptos" w:hAnsi="Aptos"/>
        </w:rPr>
      </w:pPr>
      <w:r>
        <w:rPr>
          <w:rFonts w:ascii="Aptos" w:hAnsi="Aptos"/>
        </w:rPr>
        <w:t>4. Показатели и формулы</w:t>
      </w:r>
    </w:p>
    <w:tbl>
      <w:tblPr>
        <w:tblW w:w="10540" w:type="dxa"/>
        <w:jc w:val="center"/>
        <w:tblInd w:w="0" w:type="dxa"/>
        <w:tblLayout w:type="autofit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70"/>
        <w:gridCol w:w="5270"/>
      </w:tblGrid>
      <w:tr>
        <w:trPr>
          <w:cantSplit/>
          <w:tblHeader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Показатель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Формула / правило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Dec. Target 2025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Target Closing на декабрь 2025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Dec. Actual 2025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Actual Closing на декабрь 2025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Dec.Target vs Dec.Actual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Target Closing − Actual Closing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Current Target 2026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Target Closing на выбранный месяц 2026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Current Actual 2026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Actual Closing на выбранный месяц 2026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Current Target vs Actual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Target Closing − Actual Closing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Dec. Target 2026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Target Closing на декабрь 2026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Dec26 Target vs Current Actual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Target Closing Dec 2026 − Actual Closing выбранного месяца</w:t>
            </w:r>
          </w:p>
        </w:tc>
      </w:tr>
    </w:tbl>
    <w:p>
      <w:pPr>
        <w:pStyle w:val="Heading1"/>
        <w:spacing w:after="0"/>
        <w:rPr>
          <w:rFonts w:ascii="Aptos" w:hAnsi="Aptos"/>
        </w:rPr>
      </w:pPr>
      <w:r>
        <w:rPr>
          <w:rFonts w:ascii="Aptos" w:hAnsi="Aptos"/>
        </w:rPr>
        <w:t>5. Правила агрегации и отображения</w:t>
      </w:r>
    </w:p>
    <w:tbl>
      <w:tblPr>
        <w:tblW w:w="10540" w:type="dxa"/>
        <w:jc w:val="center"/>
        <w:tblInd w:w="0" w:type="dxa"/>
        <w:tblLayout w:type="autofit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70"/>
        <w:gridCol w:w="5270"/>
      </w:tblGrid>
      <w:tr>
        <w:trPr>
          <w:cantSplit/>
          <w:tblHeader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Правило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Описание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Тип показателя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HC Closing — моментный показатель на конец соответствующего месяца.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Агрегация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Сумма HC по элементам выбранной организационной иерархии; правила distinct/person-level агрегации должны соответствовать мерам куба.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Иерархия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Порядок и уровни строк определяются справочником соответствующей структуры, а не алфавитной сортировкой.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Пустые значения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2CC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УТОЧНИТЬ: 0 или пусто.</w:t>
            </w:r>
          </w:p>
        </w:tc>
      </w:tr>
    </w:tbl>
    <w:p>
      <w:pPr>
        <w:pStyle w:val="Heading1"/>
        <w:spacing w:after="0"/>
        <w:rPr>
          <w:rFonts w:ascii="Aptos" w:hAnsi="Aptos"/>
        </w:rPr>
      </w:pPr>
      <w:r>
        <w:rPr>
          <w:rFonts w:ascii="Aptos" w:hAnsi="Aptos"/>
        </w:rPr>
        <w:t>6. Контроли и критерии приёмки</w:t>
      </w:r>
    </w:p>
    <w:p>
      <w:pPr>
        <w:pStyle w:val="ListBullet"/>
        <w:numPr>
          <w:ilvl w:val="0"/>
          <w:numId w:val="2"/>
        </w:numPr>
        <w:spacing w:after="0"/>
        <w:rPr>
          <w:rFonts w:ascii="Aptos" w:hAnsi="Aptos"/>
        </w:rPr>
      </w:pPr>
      <w:r>
        <w:rPr>
          <w:rFonts w:ascii="Aptos" w:hAnsi="Aptos"/>
        </w:rPr>
        <w:t>Итог по дочерним элементам соответствует родительскому итогу куба.</w:t>
      </w:r>
    </w:p>
    <w:p>
      <w:pPr>
        <w:pStyle w:val="ListBullet"/>
        <w:numPr>
          <w:ilvl w:val="0"/>
          <w:numId w:val="2"/>
        </w:numPr>
        <w:spacing w:after="0"/>
        <w:rPr>
          <w:rFonts w:ascii="Aptos" w:hAnsi="Aptos"/>
        </w:rPr>
      </w:pPr>
      <w:r>
        <w:rPr>
          <w:rFonts w:ascii="Aptos" w:hAnsi="Aptos"/>
        </w:rPr>
        <w:t>Отклонение всегда рассчитывается как Target − Actual.</w:t>
      </w:r>
    </w:p>
    <w:p>
      <w:pPr>
        <w:pStyle w:val="ListBullet"/>
        <w:numPr>
          <w:ilvl w:val="0"/>
          <w:numId w:val="2"/>
        </w:numPr>
        <w:spacing w:after="0"/>
        <w:rPr>
          <w:rFonts w:ascii="Aptos" w:hAnsi="Aptos"/>
        </w:rPr>
      </w:pPr>
      <w:r>
        <w:rPr>
          <w:rFonts w:ascii="Aptos" w:hAnsi="Aptos"/>
        </w:rPr>
        <w:t>Выбранная дата корректно меняет текущий месяц 2026.</w:t>
      </w:r>
    </w:p>
    <w:p>
      <w:pPr>
        <w:pStyle w:val="ListBullet"/>
        <w:numPr>
          <w:ilvl w:val="0"/>
          <w:numId w:val="2"/>
        </w:numPr>
        <w:spacing w:after="0"/>
        <w:rPr>
          <w:rFonts w:ascii="Aptos" w:hAnsi="Aptos"/>
        </w:rPr>
      </w:pPr>
      <w:r>
        <w:rPr>
          <w:rFonts w:ascii="Aptos" w:hAnsi="Aptos"/>
        </w:rPr>
        <w:t>Декабрь 2026 остаётся целевой точкой независимо от выбранного текущего месяца.</w:t>
      </w:r>
    </w:p>
    <w:p>
      <w:pPr>
        <w:pStyle w:val="ListBullet"/>
        <w:numPr>
          <w:ilvl w:val="0"/>
          <w:numId w:val="2"/>
        </w:numPr>
        <w:spacing w:after="0"/>
        <w:rPr>
          <w:rFonts w:ascii="Aptos" w:hAnsi="Aptos"/>
        </w:rPr>
      </w:pPr>
      <w:r>
        <w:rPr>
          <w:rFonts w:ascii="Aptos" w:hAnsi="Aptos"/>
        </w:rPr>
        <w:t>Структура и порядок подразделений соответствуют утверждённой иерархии.</w:t>
      </w:r>
    </w:p>
    <w:p>
      <w:pPr>
        <w:pStyle w:val="Heading1"/>
        <w:spacing w:after="0"/>
        <w:rPr>
          <w:rFonts w:ascii="Aptos" w:hAnsi="Aptos"/>
        </w:rPr>
      </w:pPr>
      <w:r>
        <w:rPr>
          <w:rFonts w:ascii="Aptos" w:hAnsi="Aptos"/>
        </w:rPr>
        <w:t>7. Открытые вопросы</w:t>
      </w:r>
    </w:p>
    <w:tbl>
      <w:tblPr>
        <w:tblW w:w="10540" w:type="dxa"/>
        <w:jc w:val="center"/>
        <w:tblInd w:w="0" w:type="dxa"/>
        <w:tblLayout w:type="autofit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70"/>
        <w:gridCol w:w="5270"/>
      </w:tblGrid>
      <w:tr>
        <w:trPr>
          <w:cantSplit/>
          <w:tblHeader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Вопрос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Статус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Как пользователь выбирает дату отчёта: календарь/месяц, и какое значение по умолчанию?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2CC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УТОЧНИТЬ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Как обрабатывать пустые/непромаппированные элементы структуры?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2CC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УТОЧНИТЬ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Нужно ли скрывать нулевые строки?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2CC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УТОЧНИТЬ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Какой источник порядка элементов иерархии используется в отчёте?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2CC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УТОЧНИТЬ</w:t>
            </w:r>
          </w:p>
        </w:tc>
      </w:tr>
    </w:tbl>
    <w:p>
      <w:pPr>
        <w:pStyle w:val="Heading1"/>
        <w:spacing w:after="0"/>
        <w:rPr>
          <w:rFonts w:ascii="Aptos" w:hAnsi="Aptos"/>
        </w:rPr>
      </w:pPr>
      <w:r>
        <w:rPr>
          <w:rFonts w:ascii="Aptos" w:hAnsi="Aptos"/>
        </w:rPr>
        <w:t>8. Правила дополнительной иерархии</w:t>
      </w:r>
    </w:p>
    <w:p>
      <w:pPr>
        <w:pStyle w:val="Normal"/>
        <w:spacing w:after="0"/>
        <w:rPr>
          <w:rFonts w:ascii="Aptos" w:hAnsi="Aptos"/>
        </w:rPr>
      </w:pPr>
      <w:r>
        <w:rPr>
          <w:rFonts w:ascii="Aptos" w:hAnsi="Aptos"/>
        </w:rPr>
        <w:t>Используется смешанная финансовая иерархия кост-центров. Базовая классификация выполняется по MIR Code через Mapping_MIR. До стандартного мэппинга применяются исключения:</w:t>
      </w:r>
    </w:p>
    <w:p>
      <w:pPr>
        <w:pStyle w:val="ListBullet"/>
        <w:numPr>
          <w:ilvl w:val="0"/>
          <w:numId w:val="2"/>
        </w:numPr>
        <w:spacing w:after="0"/>
        <w:rPr>
          <w:rFonts w:ascii="Aptos" w:hAnsi="Aptos"/>
        </w:rPr>
      </w:pPr>
      <w:r>
        <w:rPr>
          <w:rFonts w:ascii="Aptos" w:hAnsi="Aptos"/>
        </w:rPr>
        <w:t>Global Department = FTA &amp; Elevate Prog → отдельная строка «FTA &amp; Elevate Prog» независимо от MIR Code.</w:t>
      </w:r>
    </w:p>
    <w:p>
      <w:pPr>
        <w:pStyle w:val="ListBullet"/>
        <w:numPr>
          <w:ilvl w:val="0"/>
          <w:numId w:val="2"/>
        </w:numPr>
        <w:spacing w:after="0"/>
        <w:rPr>
          <w:rFonts w:ascii="Aptos" w:hAnsi="Aptos"/>
        </w:rPr>
      </w:pPr>
      <w:r>
        <w:rPr>
          <w:rFonts w:ascii="Aptos" w:hAnsi="Aptos"/>
        </w:rPr>
        <w:t>Global Department = Research → отдельная строка «Research» независимо от MIR Code.</w:t>
      </w:r>
    </w:p>
    <w:p>
      <w:pPr>
        <w:pStyle w:val="ListBullet"/>
        <w:numPr>
          <w:ilvl w:val="0"/>
          <w:numId w:val="2"/>
        </w:numPr>
        <w:spacing w:after="0"/>
        <w:rPr>
          <w:rFonts w:ascii="Aptos" w:hAnsi="Aptos"/>
        </w:rPr>
      </w:pPr>
      <w:r>
        <w:rPr>
          <w:rFonts w:ascii="Aptos" w:hAnsi="Aptos"/>
        </w:rPr>
        <w:t>MIR Code = GCEO и признак инвалидности из 1С = Yes → отдельная строка «Quota Job».</w:t>
      </w:r>
    </w:p>
    <w:p>
      <w:pPr>
        <w:pStyle w:val="ListBullet"/>
        <w:numPr>
          <w:ilvl w:val="0"/>
          <w:numId w:val="2"/>
        </w:numPr>
        <w:spacing w:after="0"/>
        <w:rPr>
          <w:rFonts w:ascii="Aptos" w:hAnsi="Aptos"/>
        </w:rPr>
      </w:pPr>
      <w:r>
        <w:rPr>
          <w:rFonts w:ascii="Aptos" w:hAnsi="Aptos"/>
        </w:rPr>
        <w:t>Если специальные условия не выполнены → классификация по Mapping_MIR.</w:t>
      </w:r>
    </w:p>
    <w:p>
      <w:pPr>
        <w:pStyle w:val="Normal"/>
        <w:spacing w:after="0"/>
        <w:rPr>
          <w:rFonts w:ascii="Aptos" w:hAnsi="Aptos"/>
          <w:sz w:val="19"/>
        </w:rPr>
      </w:pPr>
      <w:r>
        <w:rPr>
          <w:rFonts w:ascii="Aptos" w:hAnsi="Aptos"/>
          <w:sz w:val="19"/>
        </w:rPr>
        <w:t>Полная логика, уровни Mapping_MIR и контроли приведены в приложении «01_HC_Tracker_Hierarchy_Rules.docx». Правила классификации применяются ко всей HC-популяции независимо от HC Status: employee или vacancy. Для специального правила Quota Job условие применяется при наличии необходимых атрибутов объекта HC; отсутствие атрибута не считается выполнением условия.</w:t>
      </w:r>
    </w:p>
    <w:p>
      <w:pPr>
        <w:pStyle w:val="Heading1"/>
        <w:spacing w:after="0"/>
        <w:rPr/>
      </w:pPr>
      <w:r>
        <w:rPr>
          <w:rFonts w:ascii="Aptos" w:hAnsi="Aptos"/>
        </w:rPr>
        <w:t>9. Дополнительные критерии приёмки</w:t>
      </w:r>
    </w:p>
    <w:p>
      <w:pPr>
        <w:pStyle w:val="ListBullet"/>
        <w:numPr>
          <w:ilvl w:val="0"/>
          <w:numId w:val="2"/>
        </w:numPr>
        <w:spacing w:after="0"/>
        <w:rPr>
          <w:rFonts w:ascii="Aptos" w:hAnsi="Aptos"/>
        </w:rPr>
      </w:pPr>
      <w:r>
        <w:rPr>
          <w:rFonts w:ascii="Aptos" w:hAnsi="Aptos"/>
        </w:rPr>
        <w:t>Один объект HC включается в дополнительную иерархию не более одного раза.</w:t>
      </w:r>
    </w:p>
    <w:p>
      <w:pPr>
        <w:pStyle w:val="ListBullet"/>
        <w:numPr>
          <w:ilvl w:val="0"/>
          <w:numId w:val="2"/>
        </w:numPr>
        <w:spacing w:after="0"/>
        <w:rPr>
          <w:rFonts w:ascii="Aptos" w:hAnsi="Aptos"/>
        </w:rPr>
      </w:pPr>
      <w:r>
        <w:rPr>
          <w:rFonts w:ascii="Aptos" w:hAnsi="Aptos"/>
        </w:rPr>
        <w:t>Итог HC после классификации равен контрольному итогу HC Tracker Cube для одинакового набора фильтров.</w:t>
      </w:r>
    </w:p>
    <w:p>
      <w:pPr>
        <w:pStyle w:val="ListBullet"/>
        <w:numPr>
          <w:ilvl w:val="0"/>
          <w:numId w:val="2"/>
        </w:numPr>
        <w:spacing w:before="0" w:after="120"/>
        <w:contextualSpacing/>
        <w:rPr>
          <w:rFonts w:ascii="Aptos" w:hAnsi="Aptos"/>
        </w:rPr>
      </w:pPr>
      <w:r>
        <w:rPr>
          <w:rFonts w:ascii="Aptos" w:hAnsi="Aptos"/>
        </w:rPr>
        <w:t>Непромаппированные значения выявляются отдельным контролем и не теряются молча.</w:t>
      </w:r>
    </w:p>
    <w:sectPr>
      <w:type w:val="nextPage"/>
      <w:pgSz w:w="12240" w:h="15840"/>
      <w:pgMar w:left="765" w:right="765" w:gutter="0" w:header="0" w:top="765" w:footer="0" w:bottom="765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Cambria">
    <w:charset w:val="00" w:characterSet="iso-8859-1"/>
    <w:family w:val="roman"/>
    <w:pitch w:val="variable"/>
  </w:font>
  <w:font w:name="Aptos">
    <w:charset w:val="00" w:characterSet="iso-8859-1"/>
    <w:family w:val="roman"/>
    <w:pitch w:val="variable"/>
  </w:font>
  <w:font w:name="Calibri">
    <w:charset w:val="00" w:characterSet="iso-8859-1"/>
    <w:family w:val="roman"/>
    <w:pitch w:val="variable"/>
  </w:font>
  <w:font w:name="Courier">
    <w:altName w:val="Courier New"/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DejaVu Sans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  <w:spacing w:lineRule="auto" w:line="276" w:before="0" w:after="200"/>
      <w:jc w:val="start"/>
    </w:pPr>
    <w:rPr>
      <w:rFonts w:ascii="Aptos" w:hAnsi="Aptos" w:eastAsia="ＭＳ 明朝"/>
      <w:color w:val="auto"/>
      <w:kern w:val="0"/>
      <w:sz w:val="19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qFormat/>
    <w:pPr>
      <w:keepNext w:val="true"/>
      <w:keepLines/>
      <w:numPr>
        <w:ilvl w:val="0"/>
        <w:numId w:val="0"/>
      </w:numPr>
      <w:spacing w:before="480" w:after="0"/>
      <w:outlineLvl w:val="0"/>
    </w:pPr>
    <w:rPr>
      <w:rFonts w:ascii="Calibri" w:hAnsi="Calibri" w:eastAsia="ＭＳ ゴシック" w:cs="DejaVu Sans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qFormat/>
    <w:pPr>
      <w:keepNext w:val="true"/>
      <w:keepLines/>
      <w:numPr>
        <w:ilvl w:val="0"/>
        <w:numId w:val="0"/>
      </w:numPr>
      <w:spacing w:before="200" w:after="0"/>
      <w:outlineLvl w:val="1"/>
    </w:pPr>
    <w:rPr>
      <w:rFonts w:ascii="Calibri" w:hAnsi="Calibri" w:eastAsia="ＭＳ ゴシック" w:cs="DejaVu Sans"/>
      <w:b/>
      <w:bCs/>
      <w:color w:val="17365D"/>
      <w:sz w:val="22"/>
      <w:szCs w:val="26"/>
    </w:rPr>
  </w:style>
  <w:style w:type="paragraph" w:styleId="Heading3">
    <w:name w:val="heading 3"/>
    <w:basedOn w:val="Normal"/>
    <w:next w:val="Normal"/>
    <w:link w:val="Heading3Char"/>
    <w:qFormat/>
    <w:pPr>
      <w:keepNext w:val="true"/>
      <w:keepLines/>
      <w:numPr>
        <w:ilvl w:val="0"/>
        <w:numId w:val="0"/>
      </w:numPr>
      <w:spacing w:before="200" w:after="0"/>
      <w:outlineLvl w:val="2"/>
    </w:pPr>
    <w:rPr>
      <w:rFonts w:ascii="Calibri" w:hAnsi="Calibri" w:eastAsia="ＭＳ ゴシック" w:cs="DejaVu Sans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qFormat/>
    <w:pPr>
      <w:keepNext w:val="true"/>
      <w:keepLines/>
      <w:numPr>
        <w:ilvl w:val="0"/>
        <w:numId w:val="0"/>
      </w:numPr>
      <w:spacing w:before="200" w:after="0"/>
      <w:outlineLvl w:val="3"/>
    </w:pPr>
    <w:rPr>
      <w:rFonts w:ascii="Calibri" w:hAnsi="Calibri" w:eastAsia="ＭＳ ゴシック" w:cs="DejaVu Sans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qFormat/>
    <w:pPr>
      <w:keepNext w:val="true"/>
      <w:keepLines/>
      <w:numPr>
        <w:ilvl w:val="0"/>
        <w:numId w:val="0"/>
      </w:numPr>
      <w:spacing w:before="200" w:after="0"/>
      <w:outlineLvl w:val="4"/>
    </w:pPr>
    <w:rPr>
      <w:rFonts w:ascii="Calibri" w:hAnsi="Calibri" w:eastAsia="ＭＳ ゴシック" w:cs="DejaVu Sans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qFormat/>
    <w:pPr>
      <w:keepNext w:val="true"/>
      <w:keepLines/>
      <w:numPr>
        <w:ilvl w:val="0"/>
        <w:numId w:val="0"/>
      </w:numPr>
      <w:spacing w:before="200" w:after="0"/>
      <w:outlineLvl w:val="5"/>
    </w:pPr>
    <w:rPr>
      <w:rFonts w:ascii="Calibri" w:hAnsi="Calibri" w:eastAsia="ＭＳ ゴシック" w:cs="DejaVu Sans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qFormat/>
    <w:pPr>
      <w:keepNext w:val="true"/>
      <w:keepLines/>
      <w:numPr>
        <w:ilvl w:val="0"/>
        <w:numId w:val="0"/>
      </w:numPr>
      <w:spacing w:before="200" w:after="0"/>
      <w:outlineLvl w:val="6"/>
    </w:pPr>
    <w:rPr>
      <w:rFonts w:ascii="Calibri" w:hAnsi="Calibri" w:eastAsia="ＭＳ ゴシック" w:cs="DejaVu Sans"/>
      <w:i/>
      <w:iCs/>
      <w:color w:themeColor="dark1" w:themeTint="bf" w:val="404040"/>
    </w:rPr>
  </w:style>
  <w:style w:type="paragraph" w:styleId="Heading8">
    <w:name w:val="heading 8"/>
    <w:basedOn w:val="Normal"/>
    <w:next w:val="Normal"/>
    <w:link w:val="Heading8Char"/>
    <w:qFormat/>
    <w:pPr>
      <w:keepNext w:val="true"/>
      <w:keepLines/>
      <w:numPr>
        <w:ilvl w:val="0"/>
        <w:numId w:val="0"/>
      </w:numPr>
      <w:spacing w:before="200" w:after="0"/>
      <w:outlineLvl w:val="7"/>
    </w:pPr>
    <w:rPr>
      <w:rFonts w:ascii="Calibri" w:hAnsi="Calibri" w:eastAsia="ＭＳ ゴシック" w:cs="DejaVu Sans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qFormat/>
    <w:pPr>
      <w:keepNext w:val="true"/>
      <w:keepLines/>
      <w:numPr>
        <w:ilvl w:val="0"/>
        <w:numId w:val="0"/>
      </w:numPr>
      <w:spacing w:before="200" w:after="0"/>
      <w:outlineLvl w:val="8"/>
    </w:pPr>
    <w:rPr>
      <w:rFonts w:ascii="Calibri" w:hAnsi="Calibri" w:eastAsia="ＭＳ ゴシック" w:cs="DejaVu Sans"/>
      <w:i/>
      <w:iCs/>
      <w:color w:themeColor="dark1" w:themeTint="bf" w:val="404040"/>
      <w:sz w:val="20"/>
      <w:szCs w:val="20"/>
    </w:rPr>
  </w:style>
  <w:style w:type="character" w:styleId="HeaderChar">
    <w:name w:val="Header Char"/>
    <w:basedOn w:val="DefaultParagraphFont"/>
    <w:link w:val="Header"/>
    <w:qFormat/>
    <w:rPr/>
  </w:style>
  <w:style w:type="character" w:styleId="FooterChar">
    <w:name w:val="Footer Char"/>
    <w:basedOn w:val="DefaultParagraphFont"/>
    <w:link w:val="Footer"/>
    <w:qFormat/>
    <w:rPr/>
  </w:style>
  <w:style w:type="character" w:styleId="DefaultParagraphFont">
    <w:name w:val="Default Paragraph Font"/>
    <w:qFormat/>
    <w:rPr/>
  </w:style>
  <w:style w:type="character" w:styleId="Heading1Char">
    <w:name w:val="Heading 1 Char"/>
    <w:basedOn w:val="DefaultParagraphFont"/>
    <w:link w:val="Heading1"/>
    <w:qFormat/>
    <w:rPr>
      <w:rFonts w:ascii="Calibri" w:hAnsi="Calibri" w:eastAsia="ＭＳ ゴシック" w:cs="DejaVu Sans"/>
      <w:b/>
      <w:bCs/>
      <w:color w:themeColor="accent1" w:themeShade="bf" w:val="365F91"/>
      <w:sz w:val="28"/>
      <w:szCs w:val="28"/>
    </w:rPr>
  </w:style>
  <w:style w:type="character" w:styleId="Heading2Char">
    <w:name w:val="Heading 2 Char"/>
    <w:basedOn w:val="DefaultParagraphFont"/>
    <w:link w:val="Heading2"/>
    <w:qFormat/>
    <w:rPr>
      <w:rFonts w:ascii="Calibri" w:hAnsi="Calibri" w:eastAsia="ＭＳ ゴシック" w:cs="DejaVu Sans"/>
      <w:b/>
      <w:bCs/>
      <w:color w:themeColor="accent1" w:val="4F81BD"/>
      <w:sz w:val="26"/>
      <w:szCs w:val="26"/>
    </w:rPr>
  </w:style>
  <w:style w:type="character" w:styleId="Heading3Char">
    <w:name w:val="Heading 3 Char"/>
    <w:basedOn w:val="DefaultParagraphFont"/>
    <w:link w:val="Heading3"/>
    <w:qFormat/>
    <w:rPr>
      <w:rFonts w:ascii="Calibri" w:hAnsi="Calibri" w:eastAsia="ＭＳ ゴシック" w:cs="DejaVu Sans"/>
      <w:b/>
      <w:bCs/>
      <w:color w:themeColor="accent1" w:val="4F81BD"/>
    </w:rPr>
  </w:style>
  <w:style w:type="character" w:styleId="TitleChar">
    <w:name w:val="Title Char"/>
    <w:basedOn w:val="DefaultParagraphFont"/>
    <w:link w:val="Title"/>
    <w:qFormat/>
    <w:rPr>
      <w:rFonts w:ascii="Calibri" w:hAnsi="Calibri" w:eastAsia="ＭＳ ゴシック" w:cs="DejaVu Sans"/>
      <w:color w:themeColor="dark2" w:themeShade="bf" w:val="17365D"/>
      <w:spacing w:val="5"/>
      <w:kern w:val="2"/>
      <w:sz w:val="52"/>
      <w:szCs w:val="52"/>
    </w:rPr>
  </w:style>
  <w:style w:type="character" w:styleId="SubtitleChar">
    <w:name w:val="Subtitle Char"/>
    <w:basedOn w:val="DefaultParagraphFont"/>
    <w:link w:val="Subtitle"/>
    <w:qFormat/>
    <w:rPr>
      <w:rFonts w:ascii="Calibri" w:hAnsi="Calibri" w:eastAsia="ＭＳ ゴシック" w:cs="DejaVu Sans"/>
      <w:i/>
      <w:iCs/>
      <w:color w:themeColor="accent1" w:val="4F81BD"/>
      <w:spacing w:val="15"/>
      <w:sz w:val="24"/>
      <w:szCs w:val="24"/>
    </w:rPr>
  </w:style>
  <w:style w:type="character" w:styleId="BodyTextChar">
    <w:name w:val="Body Text Char"/>
    <w:basedOn w:val="DefaultParagraphFont"/>
    <w:qFormat/>
    <w:rPr/>
  </w:style>
  <w:style w:type="character" w:styleId="BodyText2Char">
    <w:name w:val="Body Text 2 Char"/>
    <w:basedOn w:val="DefaultParagraphFont"/>
    <w:link w:val="BodyText2"/>
    <w:qFormat/>
    <w:rPr/>
  </w:style>
  <w:style w:type="character" w:styleId="BodyText3Char">
    <w:name w:val="Body Text 3 Char"/>
    <w:basedOn w:val="DefaultParagraphFont"/>
    <w:link w:val="BodyText3"/>
    <w:qFormat/>
    <w:rPr>
      <w:sz w:val="16"/>
      <w:szCs w:val="16"/>
    </w:rPr>
  </w:style>
  <w:style w:type="character" w:styleId="MacroTextChar">
    <w:name w:val="Macro Text Char"/>
    <w:basedOn w:val="DefaultParagraphFont"/>
    <w:link w:val="MacroText"/>
    <w:qFormat/>
    <w:rPr>
      <w:rFonts w:ascii="Courier" w:hAnsi="Courier"/>
      <w:sz w:val="20"/>
      <w:szCs w:val="20"/>
    </w:rPr>
  </w:style>
  <w:style w:type="character" w:styleId="QuoteChar">
    <w:name w:val="Quote Char"/>
    <w:basedOn w:val="DefaultParagraphFont"/>
    <w:link w:val="Quote"/>
    <w:qFormat/>
    <w:rPr>
      <w:i/>
      <w:iCs/>
      <w:color w:themeColor="dark1" w:val="000000"/>
    </w:rPr>
  </w:style>
  <w:style w:type="character" w:styleId="Heading4Char">
    <w:name w:val="Heading 4 Char"/>
    <w:basedOn w:val="DefaultParagraphFont"/>
    <w:link w:val="Heading4"/>
    <w:qFormat/>
    <w:rPr>
      <w:rFonts w:ascii="Calibri" w:hAnsi="Calibri" w:eastAsia="ＭＳ ゴシック" w:cs="DejaVu Sans"/>
      <w:b/>
      <w:bCs/>
      <w:i/>
      <w:iCs/>
      <w:color w:themeColor="accent1" w:val="4F81BD"/>
    </w:rPr>
  </w:style>
  <w:style w:type="character" w:styleId="Heading5Char">
    <w:name w:val="Heading 5 Char"/>
    <w:basedOn w:val="DefaultParagraphFont"/>
    <w:link w:val="Heading5"/>
    <w:qFormat/>
    <w:rPr>
      <w:rFonts w:ascii="Calibri" w:hAnsi="Calibri" w:eastAsia="ＭＳ ゴシック" w:cs="DejaVu Sans"/>
      <w:color w:themeColor="accent1" w:themeShade="7f" w:val="243F60"/>
    </w:rPr>
  </w:style>
  <w:style w:type="character" w:styleId="Heading6Char">
    <w:name w:val="Heading 6 Char"/>
    <w:basedOn w:val="DefaultParagraphFont"/>
    <w:link w:val="Heading6"/>
    <w:qFormat/>
    <w:rPr>
      <w:rFonts w:ascii="Calibri" w:hAnsi="Calibri" w:eastAsia="ＭＳ ゴシック" w:cs="DejaVu Sans"/>
      <w:i/>
      <w:iCs/>
      <w:color w:themeColor="accent1" w:themeShade="7f" w:val="243F60"/>
    </w:rPr>
  </w:style>
  <w:style w:type="character" w:styleId="Heading7Char">
    <w:name w:val="Heading 7 Char"/>
    <w:basedOn w:val="DefaultParagraphFont"/>
    <w:link w:val="Heading7"/>
    <w:qFormat/>
    <w:rPr>
      <w:rFonts w:ascii="Calibri" w:hAnsi="Calibri" w:eastAsia="ＭＳ ゴシック" w:cs="DejaVu Sans"/>
      <w:i/>
      <w:iCs/>
      <w:color w:themeColor="dark1" w:themeTint="bf" w:val="404040"/>
    </w:rPr>
  </w:style>
  <w:style w:type="character" w:styleId="Heading8Char">
    <w:name w:val="Heading 8 Char"/>
    <w:basedOn w:val="DefaultParagraphFont"/>
    <w:link w:val="Heading8"/>
    <w:qFormat/>
    <w:rPr>
      <w:rFonts w:ascii="Calibri" w:hAnsi="Calibri" w:eastAsia="ＭＳ ゴシック" w:cs="DejaVu Sans"/>
      <w:color w:themeColor="accent1" w:val="4F81BD"/>
      <w:sz w:val="20"/>
      <w:szCs w:val="20"/>
    </w:rPr>
  </w:style>
  <w:style w:type="character" w:styleId="Heading9Char">
    <w:name w:val="Heading 9 Char"/>
    <w:basedOn w:val="DefaultParagraphFont"/>
    <w:link w:val="Heading9"/>
    <w:qFormat/>
    <w:rPr>
      <w:rFonts w:ascii="Calibri" w:hAnsi="Calibri" w:eastAsia="ＭＳ ゴシック" w:cs="DejaVu Sans"/>
      <w:i/>
      <w:iCs/>
      <w:color w:themeColor="dark1" w:themeTint="bf" w:val="404040"/>
      <w:sz w:val="20"/>
      <w:szCs w:val="20"/>
    </w:rPr>
  </w:style>
  <w:style w:type="character" w:styleId="Strong">
    <w:name w:val="Strong"/>
    <w:basedOn w:val="DefaultParagraphFont"/>
    <w:qFormat/>
    <w:rPr>
      <w:b/>
      <w:bCs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IntenseQuoteChar">
    <w:name w:val="Intense Quote Char"/>
    <w:basedOn w:val="DefaultParagraphFont"/>
    <w:link w:val="IntenseQuote"/>
    <w:qFormat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qFormat/>
    <w:rPr>
      <w:i/>
      <w:iCs/>
      <w:color w:themeColor="dark1" w:themeTint="7f" w:val="808080"/>
    </w:rPr>
  </w:style>
  <w:style w:type="character" w:styleId="IntenseEmphasis">
    <w:name w:val="Intense Emphasis"/>
    <w:basedOn w:val="DefaultParagraphFont"/>
    <w:qFormat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qFormat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qFormat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qFormat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link w:val="BodyTextChar"/>
    <w:pPr>
      <w:spacing w:before="0" w:after="120"/>
    </w:pPr>
    <w:rPr/>
  </w:style>
  <w:style w:type="paragraph" w:styleId="List">
    <w:name w:val="List"/>
    <w:basedOn w:val="Normal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qFormat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qFormat/>
    <w:pPr>
      <w:widowControl/>
      <w:kinsoku w:val="true"/>
      <w:overflowPunct w:val="true"/>
      <w:autoSpaceDE w:val="true"/>
      <w:bidi w:val="0"/>
      <w:spacing w:lineRule="auto" w:line="240" w:before="0" w:after="0"/>
      <w:jc w:val="start"/>
    </w:pPr>
    <w:rPr>
      <w:rFonts w:ascii="Cambria" w:hAnsi="Cambria" w:eastAsia="ＭＳ 明朝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DejaVu Sans"/>
      <w:color w:val="17365D"/>
      <w:spacing w:val="5"/>
      <w:kern w:val="2"/>
      <w:sz w:val="44"/>
      <w:szCs w:val="52"/>
    </w:rPr>
  </w:style>
  <w:style w:type="paragraph" w:styleId="Subtitle">
    <w:name w:val="Subtitle"/>
    <w:basedOn w:val="Normal"/>
    <w:next w:val="Normal"/>
    <w:link w:val="SubtitleChar"/>
    <w:qFormat/>
    <w:pPr/>
    <w:rPr>
      <w:rFonts w:ascii="Calibri" w:hAnsi="Calibri" w:eastAsia="ＭＳ ゴシック" w:cs="DejaVu Sans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qFormat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qFormat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qFormat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qFormat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qFormat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pPr>
      <w:numPr>
        <w:ilvl w:val="0"/>
        <w:numId w:val="2"/>
      </w:numPr>
      <w:spacing w:before="0" w:after="200"/>
      <w:contextualSpacing/>
    </w:pPr>
    <w:rPr/>
  </w:style>
  <w:style w:type="paragraph" w:styleId="ListBullet2">
    <w:name w:val="List Bullet 2"/>
    <w:basedOn w:val="Normal"/>
    <w:pPr>
      <w:numPr>
        <w:ilvl w:val="0"/>
        <w:numId w:val="3"/>
      </w:numPr>
      <w:spacing w:before="0" w:after="200"/>
      <w:contextualSpacing/>
    </w:pPr>
    <w:rPr/>
  </w:style>
  <w:style w:type="paragraph" w:styleId="ListBullet3">
    <w:name w:val="List Bullet 3"/>
    <w:basedOn w:val="Normal"/>
    <w:pPr>
      <w:numPr>
        <w:ilvl w:val="0"/>
        <w:numId w:val="4"/>
      </w:numPr>
      <w:spacing w:before="0" w:after="200"/>
      <w:contextualSpacing/>
    </w:pPr>
    <w:rPr/>
  </w:style>
  <w:style w:type="paragraph" w:styleId="ListNumber">
    <w:name w:val="List Number"/>
    <w:basedOn w:val="Normal"/>
    <w:pPr>
      <w:numPr>
        <w:ilvl w:val="0"/>
        <w:numId w:val="5"/>
      </w:numPr>
      <w:spacing w:before="0" w:after="200"/>
      <w:contextualSpacing/>
    </w:pPr>
    <w:rPr/>
  </w:style>
  <w:style w:type="paragraph" w:styleId="ListNumber2">
    <w:name w:val="List Number 2"/>
    <w:basedOn w:val="Normal"/>
    <w:pPr>
      <w:numPr>
        <w:ilvl w:val="0"/>
        <w:numId w:val="6"/>
      </w:numPr>
      <w:spacing w:before="0" w:after="200"/>
      <w:contextualSpacing/>
    </w:pPr>
    <w:rPr/>
  </w:style>
  <w:style w:type="paragraph" w:styleId="ListNumber3">
    <w:name w:val="List Number 3"/>
    <w:basedOn w:val="Normal"/>
    <w:pPr>
      <w:numPr>
        <w:ilvl w:val="0"/>
        <w:numId w:val="7"/>
      </w:numPr>
      <w:spacing w:before="0" w:after="200"/>
      <w:contextualSpacing/>
    </w:pPr>
    <w:rPr/>
  </w:style>
  <w:style w:type="paragraph" w:styleId="ListContinue">
    <w:name w:val="List Continue"/>
    <w:basedOn w:val="Normal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qFormat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kinsoku w:val="true"/>
      <w:overflowPunct w:val="true"/>
      <w:autoSpaceDE w:val="true"/>
      <w:bidi w:val="0"/>
      <w:spacing w:lineRule="auto" w:line="276" w:before="0" w:after="200"/>
      <w:jc w:val="start"/>
    </w:pPr>
    <w:rPr>
      <w:rFonts w:ascii="Courier" w:hAnsi="Courier" w:eastAsia="ＭＳ 明朝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qFormat/>
    <w:pPr/>
    <w:rPr>
      <w:i/>
      <w:iCs/>
      <w:color w:themeColor="dark1" w:val="000000"/>
    </w:rPr>
  </w:style>
  <w:style w:type="paragraph" w:styleId="IntenseQuote">
    <w:name w:val="Intense Quote"/>
    <w:basedOn w:val="Normal"/>
    <w:next w:val="Normal"/>
    <w:link w:val="IntenseQuoteChar"/>
    <w:qFormat/>
    <w:pPr>
      <w:pBdr>
        <w:bottom w:val="single" w:sz="4" w:space="4" w:color="4F81BD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qFormat/>
    <w:pPr>
      <w:outlineLvl w:val="9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>
    <w:name w:val="No List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LibreOffice/25.2.3.2$Linux_X86_64 LibreOffice_project/520$Build-2</Application>
  <AppVersion>15.0000</AppVersion>
  <Pages>3</Pages>
  <Words>522</Words>
  <Characters>3429</Characters>
  <CharactersWithSpaces>3860</CharactersWithSpaces>
  <Paragraphs>83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