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after="0"/>
        <w:rPr>
          <w:rFonts w:ascii="Aptos" w:hAnsi="Aptos"/>
        </w:rPr>
      </w:pPr>
      <w:r>
        <w:rPr>
          <w:rFonts w:ascii="Aptos" w:hAnsi="Aptos"/>
        </w:rPr>
        <w:t>Форма 10. Target HC 2026 by Global Structure</w:t>
      </w:r>
    </w:p>
    <w:p>
      <w:pPr>
        <w:pStyle w:val="Subtitle"/>
        <w:spacing w:after="0"/>
        <w:rPr>
          <w:rFonts w:ascii="Aptos" w:hAnsi="Aptos"/>
        </w:rPr>
      </w:pPr>
      <w:r>
        <w:rPr>
          <w:rFonts w:ascii="Aptos" w:hAnsi="Aptos"/>
        </w:rPr>
        <w:t>Функциональный дизайн / спецификация отчёта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Значение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Версия документа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1.0 — первая версия для технического ревью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макета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Tracker forms_09.09.2026_обезличенно.xlsx / Summary_GD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Источник данных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Tracker Cube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DRAFT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1. Назначение формы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Контроль целевой и фактической численности по функциональной структуре: сопоставление Target и Actual HC по иерархии Global Departments для выявления и локализации отклонений численности по функциональным подразделениям.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2. Параметры и временные точки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Параметр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Периметр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Выбранный организационный периметр; технический атрибут модели фиксирует BA/SA.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Дата отчёта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=' Summary_MIR'!B4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Периоды сравнения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Декабрь 2025, текущий месяц 2026, декабрь 2026 — согласно макету. Текущий месяц должен определяться параметром даты отчёта.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3. Уровень детализации расчёта</w:t>
      </w:r>
    </w:p>
    <w:p>
      <w:pPr>
        <w:pStyle w:val="Normal"/>
        <w:spacing w:after="0"/>
        <w:rPr>
          <w:rFonts w:ascii="Aptos" w:hAnsi="Aptos"/>
        </w:rPr>
      </w:pPr>
      <w:r>
        <w:rPr>
          <w:rFonts w:ascii="Aptos" w:hAnsi="Aptos"/>
        </w:rPr>
        <w:t>Значения формируются из мер Target Closing и Actual Closing HC Tracker Cube на уровне сотрудника/вакансии и далее агрегируются по дополнительной отчётной иерархии. Для GD-формы применяется функциональная иерархия Global Departments по правилам Mapping_GD.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4. Показатели и формулы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Показатель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Формула / правило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Target 2025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декабрь 2025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Actual 2025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Actual Closing на декабрь 2025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Dec.Target vs Dec.Actual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− Actual Closing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Target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выбранный месяц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Actual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Actual Closing на выбранный месяц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Current Target vs 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− Actual Closing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Dec. Target 2026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на декабрь 2026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Dec26 Target vs Current Actual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Target Closing Dec 2026 − Actual Closing выбранного месяца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5. Правила агрегации и отображения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Правило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Описание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Тип показателя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HC Closing — моментный показатель на конец соответствующего месяца.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Агрегация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Сумма HC по элементам выбранной организационной иерархии; правила distinct/person-level агрегации должны соответствовать мерам куба.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Иерархия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Порядок и уровни строк определяются справочником соответствующей структуры, а не алфавитной сортировкой.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Пустые значения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УТОЧНИТЬ: 0 или пусто.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6. Контроли и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Итог по дочерним элементам соответствует родительскому итогу куба.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Отклонение всегда рассчитывается как Target − Actual.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Выбранная дата корректно меняет текущий месяц 2026.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Декабрь 2026 остаётся целевой точкой независимо от выбранного текущего месяца.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Структура и порядок подразделений соответствуют утверждённой иерархии.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7. Открытые вопросы</w:t>
      </w:r>
    </w:p>
    <w:tbl>
      <w:tblPr>
        <w:tblW w:w="10540" w:type="dxa"/>
        <w:jc w:val="center"/>
        <w:tblInd w:w="0" w:type="dxa"/>
        <w:tblLayout w:type="autofit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70"/>
        <w:gridCol w:w="5270"/>
      </w:tblGrid>
      <w:tr>
        <w:trPr>
          <w:cantSplit/>
          <w:tblHeader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F75B5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b/>
                <w:color w:val="FFFFFF"/>
                <w:kern w:val="0"/>
                <w:sz w:val="15"/>
                <w:szCs w:val="22"/>
                <w:lang w:val="en-US" w:eastAsia="en-US" w:bidi="ar-SA"/>
              </w:rPr>
              <w:t>Статус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 пользователь выбирает дату отчёта: календарь/месяц, и какое значение по умолчанию?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 обрабатывать пустые/непромаппированные элементы структуры?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Нужно ли скрывать нулевые строки?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  <w:tr>
        <w:trPr>
          <w:cantSplit/>
        </w:trPr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Какой источник порядка элементов иерархии используется в отчёте?</w:t>
            </w:r>
          </w:p>
        </w:tc>
        <w:tc>
          <w:tcPr>
            <w:tcW w:w="0" w:type="auto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2CC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widowControl/>
              <w:spacing w:lineRule="auto" w:line="240" w:before="0" w:after="20"/>
              <w:jc w:val="start"/>
              <w:rPr>
                <w:rFonts w:ascii="Aptos" w:hAnsi="Aptos" w:eastAsia="ＭＳ 明朝"/>
                <w:kern w:val="0"/>
                <w:sz w:val="15"/>
                <w:szCs w:val="22"/>
                <w:lang w:val="en-US" w:eastAsia="en-US" w:bidi="ar-SA"/>
              </w:rPr>
            </w:pPr>
            <w:r>
              <w:rPr>
                <w:rFonts w:eastAsia="ＭＳ 明朝" w:ascii="Aptos" w:hAnsi="Aptos"/>
                <w:kern w:val="0"/>
                <w:sz w:val="15"/>
                <w:szCs w:val="22"/>
                <w:lang w:val="en-US" w:eastAsia="en-US" w:bidi="ar-SA"/>
              </w:rPr>
              <w:t>УТОЧНИТЬ</w:t>
            </w:r>
          </w:p>
        </w:tc>
      </w:tr>
    </w:tbl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8. Правила дополнительной иерархии</w:t>
      </w:r>
    </w:p>
    <w:p>
      <w:pPr>
        <w:pStyle w:val="Normal"/>
        <w:spacing w:after="0"/>
        <w:rPr>
          <w:rFonts w:ascii="Aptos" w:hAnsi="Aptos"/>
          <w:sz w:val="19"/>
        </w:rPr>
      </w:pPr>
      <w:r>
        <w:rPr>
          <w:rFonts w:ascii="Aptos" w:hAnsi="Aptos"/>
          <w:sz w:val="19"/>
        </w:rPr>
        <w:t>Функциональная иерархия строится по Global Department через Mapping_GD. Целевые уровни: GD_Function_Level_1 / GD_Function_level_2 и GD_Business_Level_1 / GD_Business_Level_2. Полная логика и контроли приведены в приложении «01_HC_Tracker_Hierarchy_Rules.docx».</w:t>
      </w:r>
    </w:p>
    <w:p>
      <w:pPr>
        <w:pStyle w:val="Heading1"/>
        <w:spacing w:after="0"/>
        <w:rPr>
          <w:rFonts w:ascii="Aptos" w:hAnsi="Aptos"/>
        </w:rPr>
      </w:pPr>
      <w:r>
        <w:rPr>
          <w:rFonts w:ascii="Aptos" w:hAnsi="Aptos"/>
        </w:rPr>
        <w:t>9. Дополнительные критерии приёмки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Один объект HC включается в дополнительную иерархию не более одного раза.</w:t>
      </w:r>
    </w:p>
    <w:p>
      <w:pPr>
        <w:pStyle w:val="ListBullet"/>
        <w:numPr>
          <w:ilvl w:val="0"/>
          <w:numId w:val="2"/>
        </w:numPr>
        <w:spacing w:after="0"/>
        <w:rPr>
          <w:rFonts w:ascii="Aptos" w:hAnsi="Aptos"/>
        </w:rPr>
      </w:pPr>
      <w:r>
        <w:rPr>
          <w:rFonts w:ascii="Aptos" w:hAnsi="Aptos"/>
        </w:rPr>
        <w:t>Итог HC после классификации равен контрольному итогу HC Tracker Cube для одинакового набора фильтров.</w:t>
      </w:r>
    </w:p>
    <w:p>
      <w:pPr>
        <w:pStyle w:val="ListBullet"/>
        <w:numPr>
          <w:ilvl w:val="0"/>
          <w:numId w:val="2"/>
        </w:numPr>
        <w:spacing w:before="0" w:after="120"/>
        <w:contextualSpacing/>
        <w:rPr>
          <w:rFonts w:ascii="Aptos" w:hAnsi="Aptos"/>
        </w:rPr>
      </w:pPr>
      <w:r>
        <w:rPr>
          <w:rFonts w:ascii="Aptos" w:hAnsi="Aptos"/>
        </w:rPr>
        <w:t>Непромаппированные значения выявляются отдельным контролем и не теряются молча.</w:t>
      </w:r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mbria">
    <w:charset w:val="00" w:characterSet="iso-8859-1"/>
    <w:family w:val="roman"/>
    <w:pitch w:val="variable"/>
  </w:font>
  <w:font w:name="Aptos"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Courier">
    <w:altName w:val="Courier New"/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Aptos" w:hAnsi="Aptos" w:eastAsia="ＭＳ 明朝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ＭＳ ゴシック" w:cs="DejaVu San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ＭＳ ゴシック" w:cs="DejaVu Sans"/>
      <w:b/>
      <w:bCs/>
      <w:color w:val="17365D"/>
      <w:sz w:val="22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ＭＳ ゴシック" w:cs="DejaVu Sans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ＭＳ ゴシック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ＭＳ ゴシック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ＭＳ ゴシック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Heading8Char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DejaVu Sans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DefaultParagraphFont">
    <w:name w:val="Default Paragraph Font"/>
    <w:qFormat/>
    <w:rPr/>
  </w:style>
  <w:style w:type="character" w:styleId="Heading1Char">
    <w:name w:val="Heading 1 Char"/>
    <w:basedOn w:val="DefaultParagraphFont"/>
    <w:link w:val="Heading1"/>
    <w:qFormat/>
    <w:rPr>
      <w:rFonts w:ascii="Calibri" w:hAnsi="Calibri" w:eastAsia="ＭＳ ゴシック" w:cs="DejaVu Sans"/>
      <w:b/>
      <w:bCs/>
      <w:color w:themeColor="accent1" w:themeShade="bf" w:val="365F91"/>
      <w:sz w:val="28"/>
      <w:szCs w:val="28"/>
    </w:rPr>
  </w:style>
  <w:style w:type="character" w:styleId="Heading2Char">
    <w:name w:val="Heading 2 Char"/>
    <w:basedOn w:val="DefaultParagraphFont"/>
    <w:link w:val="Heading2"/>
    <w:qFormat/>
    <w:rPr>
      <w:rFonts w:ascii="Calibri" w:hAnsi="Calibri" w:eastAsia="ＭＳ ゴシック" w:cs="DejaVu Sans"/>
      <w:b/>
      <w:bCs/>
      <w:color w:themeColor="accent1" w:val="4F81BD"/>
      <w:sz w:val="26"/>
      <w:szCs w:val="26"/>
    </w:rPr>
  </w:style>
  <w:style w:type="character" w:styleId="Heading3Char">
    <w:name w:val="Heading 3 Char"/>
    <w:basedOn w:val="DefaultParagraphFont"/>
    <w:link w:val="Heading3"/>
    <w:qFormat/>
    <w:rPr>
      <w:rFonts w:ascii="Calibri" w:hAnsi="Calibri" w:eastAsia="ＭＳ ゴシック" w:cs="DejaVu Sans"/>
      <w:b/>
      <w:bCs/>
      <w:color w:themeColor="accent1" w:val="4F81BD"/>
    </w:rPr>
  </w:style>
  <w:style w:type="character" w:styleId="TitleChar">
    <w:name w:val="Title Char"/>
    <w:basedOn w:val="DefaultParagraphFont"/>
    <w:link w:val="Title"/>
    <w:qFormat/>
    <w:rPr>
      <w:rFonts w:ascii="Calibri" w:hAnsi="Calibri" w:eastAsia="ＭＳ ゴシック" w:cs="DejaVu Sans"/>
      <w:color w:themeColor="dark2" w:themeShade="bf" w:val="17365D"/>
      <w:spacing w:val="5"/>
      <w:kern w:val="2"/>
      <w:sz w:val="52"/>
      <w:szCs w:val="52"/>
    </w:rPr>
  </w:style>
  <w:style w:type="character" w:styleId="SubtitleChar">
    <w:name w:val="Subtitle Char"/>
    <w:basedOn w:val="DefaultParagraphFont"/>
    <w:link w:val="Subtitle"/>
    <w:qFormat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character" w:styleId="BodyTextChar">
    <w:name w:val="Body Text Char"/>
    <w:basedOn w:val="DefaultParagraphFont"/>
    <w:qFormat/>
    <w:rPr/>
  </w:style>
  <w:style w:type="character" w:styleId="BodyText2Char">
    <w:name w:val="Body Text 2 Char"/>
    <w:basedOn w:val="DefaultParagraphFont"/>
    <w:link w:val="BodyText2"/>
    <w:qFormat/>
    <w:rPr/>
  </w:style>
  <w:style w:type="character" w:styleId="BodyText3Char">
    <w:name w:val="Body Text 3 Char"/>
    <w:basedOn w:val="DefaultParagraphFont"/>
    <w:link w:val="BodyText3"/>
    <w:qFormat/>
    <w:rPr>
      <w:sz w:val="16"/>
      <w:szCs w:val="16"/>
    </w:rPr>
  </w:style>
  <w:style w:type="character" w:styleId="MacroTextChar">
    <w:name w:val="Macro Text Char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QuoteChar">
    <w:name w:val="Quote Char"/>
    <w:basedOn w:val="DefaultParagraphFont"/>
    <w:link w:val="Quote"/>
    <w:qFormat/>
    <w:rPr>
      <w:i/>
      <w:iCs/>
      <w:color w:themeColor="dark1" w:val="000000"/>
    </w:rPr>
  </w:style>
  <w:style w:type="character" w:styleId="Heading4Char">
    <w:name w:val="Heading 4 Char"/>
    <w:basedOn w:val="DefaultParagraphFont"/>
    <w:link w:val="Heading4"/>
    <w:qFormat/>
    <w:rPr>
      <w:rFonts w:ascii="Calibri" w:hAnsi="Calibri" w:eastAsia="ＭＳ ゴシック" w:cs="DejaVu Sans"/>
      <w:b/>
      <w:bCs/>
      <w:i/>
      <w:iCs/>
      <w:color w:themeColor="accent1" w:val="4F81BD"/>
    </w:rPr>
  </w:style>
  <w:style w:type="character" w:styleId="Heading5Char">
    <w:name w:val="Heading 5 Char"/>
    <w:basedOn w:val="DefaultParagraphFont"/>
    <w:link w:val="Heading5"/>
    <w:qFormat/>
    <w:rPr>
      <w:rFonts w:ascii="Calibri" w:hAnsi="Calibri" w:eastAsia="ＭＳ ゴシック" w:cs="DejaVu Sans"/>
      <w:color w:themeColor="accent1" w:themeShade="7f" w:val="243F60"/>
    </w:rPr>
  </w:style>
  <w:style w:type="character" w:styleId="Heading6Char">
    <w:name w:val="Heading 6 Char"/>
    <w:basedOn w:val="DefaultParagraphFont"/>
    <w:link w:val="Heading6"/>
    <w:qFormat/>
    <w:rPr>
      <w:rFonts w:ascii="Calibri" w:hAnsi="Calibri" w:eastAsia="ＭＳ ゴシック" w:cs="DejaVu Sans"/>
      <w:i/>
      <w:iCs/>
      <w:color w:themeColor="accent1" w:themeShade="7f" w:val="243F60"/>
    </w:rPr>
  </w:style>
  <w:style w:type="character" w:styleId="Heading7Char">
    <w:name w:val="Heading 7 Char"/>
    <w:basedOn w:val="DefaultParagraphFont"/>
    <w:link w:val="Heading7"/>
    <w:qFormat/>
    <w:rPr>
      <w:rFonts w:ascii="Calibri" w:hAnsi="Calibri" w:eastAsia="ＭＳ ゴシック" w:cs="DejaVu Sans"/>
      <w:i/>
      <w:iCs/>
      <w:color w:themeColor="dark1" w:themeTint="bf" w:val="404040"/>
    </w:rPr>
  </w:style>
  <w:style w:type="character" w:styleId="Heading8Char">
    <w:name w:val="Heading 8 Char"/>
    <w:basedOn w:val="DefaultParagraphFont"/>
    <w:link w:val="Heading8"/>
    <w:qFormat/>
    <w:rPr>
      <w:rFonts w:ascii="Calibri" w:hAnsi="Calibri" w:eastAsia="ＭＳ ゴシック" w:cs="DejaVu Sans"/>
      <w:color w:themeColor="accent1" w:val="4F81BD"/>
      <w:sz w:val="20"/>
      <w:szCs w:val="20"/>
    </w:rPr>
  </w:style>
  <w:style w:type="character" w:styleId="Heading9Char">
    <w:name w:val="Heading 9 Char"/>
    <w:basedOn w:val="DefaultParagraphFont"/>
    <w:link w:val="Heading9"/>
    <w:qFormat/>
    <w:rPr>
      <w:rFonts w:ascii="Calibri" w:hAnsi="Calibri" w:eastAsia="ＭＳ ゴシック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IntenseQuoteChar">
    <w:name w:val="Intense Quote Char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kinsoku w:val="true"/>
      <w:overflowPunct w:val="true"/>
      <w:autoSpaceDE w:val="true"/>
      <w:bidi w:val="0"/>
      <w:spacing w:lineRule="auto" w:line="240" w:before="0" w:after="0"/>
      <w:jc w:val="start"/>
    </w:pPr>
    <w:rPr>
      <w:rFonts w:ascii="Cambria" w:hAnsi="Cambria" w:eastAsia="ＭＳ 明朝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DejaVu Sans"/>
      <w:color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qFormat/>
    <w:pPr/>
    <w:rPr>
      <w:rFonts w:ascii="Calibri" w:hAnsi="Calibri" w:eastAsia="ＭＳ ゴシック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kinsoku w:val="true"/>
      <w:overflowPunct w:val="true"/>
      <w:autoSpaceDE w:val="true"/>
      <w:bidi w:val="0"/>
      <w:spacing w:lineRule="auto" w:line="276" w:before="0" w:after="200"/>
      <w:jc w:val="start"/>
    </w:pPr>
    <w:rPr>
      <w:rFonts w:ascii="Courier" w:hAnsi="Courier" w:eastAsia="ＭＳ 明朝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  <Pages>2</Pages>
  <Words>429</Words>
  <Characters>2918</Characters>
  <CharactersWithSpaces>3264</CharactersWithSpaces>
  <Paragraphs>78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