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</Types>
</file>

<file path=_rels/.rels><?xml version='1.0' encoding='UTF-8'?>
<Relationships xmlns="http://schemas.openxmlformats.org/package/2006/relationships"><Relationship Type="http://schemas.openxmlformats.org/officeDocument/2006/relationships/officeDocument" Target="word/document.xml" Id="Rc18e3264711d4474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CoverB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Bg.png"/>
                    <pic:cNvPicPr/>
                  </pic:nvPicPr>
                  <pic:blipFill>
                    <a:blip r:embed="Rf768ad67e60847c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4200"/>
      </w:pPr>
      <w:r/>
    </w:p>
    <w:p>
      <w:pPr>
        <w:spacing w:after="120"/>
        <w:ind w:left="640"/>
      </w:pPr>
      <w:r>
        <w:rPr>
          <w:rFonts w:ascii="Courier New" w:hAnsi="Courier New" w:eastAsia="Courier New"/>
          <w:b/>
          <w:color w:val="B08D3E"/>
          <w:sz w:val="20"/>
        </w:rPr>
        <w:t xml:space="preserve">МЕТОДОЛОГИЯ · РАБОЧИЙ ДОКУМЕНТ</w:t>
      </w:r>
    </w:p>
    <w:p>
      <w:pPr>
        <w:spacing w:after="100" w:line="400" w:lineRule="auto"/>
        <w:ind w:left="640"/>
      </w:pPr>
      <w:r>
        <w:rPr>
          <w:rFonts w:ascii="Calibri" w:hAnsi="Calibri" w:eastAsia="Calibri"/>
          <w:b/>
          <w:color w:val="123B2F"/>
          <w:sz w:val="52"/>
        </w:rPr>
        <w:t xml:space="preserve">Факторный анализ затрат на персонал</w:t>
      </w:r>
    </w:p>
    <w:p>
      <w:pPr>
        <w:spacing w:after="300" w:line="400" w:lineRule="auto"/>
        <w:ind w:left="640"/>
      </w:pPr>
      <w:r>
        <w:rPr>
          <w:rFonts w:ascii="Calibri" w:hAnsi="Calibri" w:eastAsia="Calibri"/>
          <w:color w:val="33302A"/>
          <w:sz w:val="26"/>
        </w:rPr>
        <w:t xml:space="preserve">Факторы первой волны F01–F11: логика, формулы, ограничения, альтернативы</w:t>
      </w:r>
    </w:p>
    <w:p>
      <w:pPr>
        <w:spacing w:after="120"/>
        <w:ind w:left="640"/>
      </w:pPr>
      <w:r>
        <w:rPr>
          <w:rFonts w:ascii="Calibri" w:hAnsi="Calibri" w:eastAsia="Calibri"/>
          <w:color w:val="6E685B"/>
          <w:sz w:val="20"/>
        </w:rPr>
        <w:t xml:space="preserve">Проект «Бюджетная система по затратам на персонал»</w:t>
      </w:r>
    </w:p>
    <w:p>
      <w:pPr>
        <w:ind w:left="640"/>
      </w:pPr>
      <w:r>
        <w:rPr>
          <w:rFonts w:ascii="Calibri" w:hAnsi="Calibri" w:eastAsia="Calibri"/>
          <w:color w:val="6E685B"/>
          <w:sz w:val="20"/>
        </w:rPr>
        <w:t xml:space="preserve">Версия 0.9 · август 2026 · на согласовании у Reward / Finance</w:t>
      </w:r>
    </w:p>
    <w:p>
      <w:pPr>
        <w:sectPr>
          <w:type w:val="nextPage"/>
          <w:pgSz w:w="11906" w:h="16838"/>
          <w:pgMar w:top="0" w:right="0" w:bottom="0" w:left="0" w:header="0" w:footer="0"/>
          <w:titlePg/>
        </w:sectPr>
      </w:pP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Содержание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pStyle w:val="TOC1"/>
      </w:pPr>
      <w:r>
        <w:t>1. О документе</w:t>
      </w:r>
      <w:r>
        <w:tab/>
      </w:r>
      <w:r>
        <w:t>3</w:t>
      </w:r>
    </w:p>
    <w:p>
      <w:pPr>
        <w:pStyle w:val="TOC1"/>
      </w:pPr>
      <w:r>
        <w:t>2. Базовые понятия и данные</w:t>
      </w:r>
      <w:r>
        <w:tab/>
      </w:r>
      <w:r>
        <w:t>3</w:t>
      </w:r>
    </w:p>
    <w:p>
      <w:pPr>
        <w:pStyle w:val="TOC1"/>
      </w:pPr>
      <w:r>
        <w:t>3. Общий алгоритм расчёта</w:t>
      </w:r>
      <w:r>
        <w:tab/>
      </w:r>
      <w:r>
        <w:t>5</w:t>
      </w:r>
    </w:p>
    <w:p>
      <w:pPr>
        <w:pStyle w:val="TOC1"/>
      </w:pPr>
      <w:r>
        <w:t>4. Карта факторов первой волны</w:t>
      </w:r>
      <w:r>
        <w:tab/>
      </w:r>
      <w:r>
        <w:t>6</w:t>
      </w:r>
    </w:p>
    <w:p>
      <w:pPr>
        <w:pStyle w:val="TOC1"/>
      </w:pPr>
      <w:r>
        <w:t>5. F01 · Наймы текущего года</w:t>
      </w:r>
      <w:r>
        <w:tab/>
      </w:r>
      <w:r>
        <w:t>7</w:t>
      </w:r>
    </w:p>
    <w:p>
      <w:pPr>
        <w:pStyle w:val="TOC1"/>
      </w:pPr>
      <w:r>
        <w:t>6. F02 · Увольнения текущего года</w:t>
      </w:r>
      <w:r>
        <w:tab/>
      </w:r>
      <w:r>
        <w:t>8</w:t>
      </w:r>
    </w:p>
    <w:p>
      <w:pPr>
        <w:pStyle w:val="TOC1"/>
      </w:pPr>
      <w:r>
        <w:t>7. F03 · Наймы прошлого года (эффект полного года)</w:t>
      </w:r>
      <w:r>
        <w:tab/>
      </w:r>
      <w:r>
        <w:t>9</w:t>
      </w:r>
    </w:p>
    <w:p>
      <w:pPr>
        <w:pStyle w:val="TOC1"/>
      </w:pPr>
      <w:r>
        <w:t>8. F04 · Увольнения прошлого года (эффект полного года)</w:t>
      </w:r>
      <w:r>
        <w:tab/>
      </w:r>
      <w:r>
        <w:t>10</w:t>
      </w:r>
    </w:p>
    <w:p>
      <w:pPr>
        <w:pStyle w:val="TOC1"/>
      </w:pPr>
      <w:r>
        <w:t>9. F05 · Вакансии</w:t>
      </w:r>
      <w:r>
        <w:tab/>
      </w:r>
      <w:r>
        <w:t>11</w:t>
      </w:r>
    </w:p>
    <w:p>
      <w:pPr>
        <w:pStyle w:val="TOC1"/>
      </w:pPr>
      <w:r>
        <w:t>10. F06 · Трансферы</w:t>
      </w:r>
      <w:r>
        <w:tab/>
      </w:r>
      <w:r>
        <w:t>12</w:t>
      </w:r>
    </w:p>
    <w:p>
      <w:pPr>
        <w:pStyle w:val="TOC1"/>
      </w:pPr>
      <w:r>
        <w:t>11. F07 · Пересмотр оклада</w:t>
      </w:r>
      <w:r>
        <w:tab/>
      </w:r>
      <w:r>
        <w:t>13</w:t>
      </w:r>
    </w:p>
    <w:p>
      <w:pPr>
        <w:pStyle w:val="TOC1"/>
      </w:pPr>
      <w:r>
        <w:t>12. F08 · Отпускные и резерв отпусков</w:t>
      </w:r>
      <w:r>
        <w:tab/>
      </w:r>
      <w:r>
        <w:t>15</w:t>
      </w:r>
    </w:p>
    <w:p>
      <w:pPr>
        <w:pStyle w:val="TOC1"/>
      </w:pPr>
      <w:r>
        <w:t>13. F09–F10 · Резервы годовой премии</w:t>
      </w:r>
      <w:r>
        <w:tab/>
      </w:r>
      <w:r>
        <w:t>15</w:t>
      </w:r>
    </w:p>
    <w:p>
      <w:pPr>
        <w:pStyle w:val="TOC1"/>
      </w:pPr>
      <w:r>
        <w:t>14. F11 · Прочее и неразложенное отклонение</w:t>
      </w:r>
      <w:r>
        <w:tab/>
      </w:r>
      <w:r>
        <w:t>16</w:t>
      </w:r>
    </w:p>
    <w:p>
      <w:pPr>
        <w:pStyle w:val="TOC1"/>
      </w:pPr>
      <w:r>
        <w:t>15. Два режима Waterfall</w:t>
      </w:r>
      <w:r>
        <w:tab/>
      </w:r>
      <w:r>
        <w:t>18</w:t>
      </w:r>
    </w:p>
    <w:p>
      <w:pPr>
        <w:pStyle w:val="TOC1"/>
      </w:pPr>
      <w:r>
        <w:t>16. Контроль качества и сходимость</w:t>
      </w:r>
      <w:r>
        <w:tab/>
      </w:r>
      <w:r>
        <w:t>18</w:t>
      </w:r>
    </w:p>
    <w:p>
      <w:pPr>
        <w:pStyle w:val="TOC1"/>
      </w:pPr>
      <w:r>
        <w:t>17. Открытые вопросы к реализации</w:t>
      </w:r>
      <w:r>
        <w:tab/>
      </w:r>
      <w:r>
        <w:t>18</w:t>
      </w:r>
    </w:p>
    <w:p>
      <w:pPr>
        <w:pStyle w:val="TOC1"/>
      </w:pPr>
      <w:r>
        <w:t>18. Глоссарий</w:t>
      </w:r>
      <w:r>
        <w:tab/>
      </w:r>
      <w:r>
        <w:t>19</w:t>
      </w:r>
    </w:p>
    <w:p>
      <w:r>
        <w:fldChar w:fldCharType="end"/>
      </w:r>
    </w:p>
    <w:p>
      <w:pPr>
        <w:sectPr>
          <w:type w:val="nextPage"/>
          <w:pgSz w:w="11906" w:h="16838"/>
          <w:pgMar w:top="1600" w:right="1280" w:bottom="1280" w:left="1280" w:header="720" w:footer="720"/>
        </w:sectPr>
      </w:pP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1. О документе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Документ описывает методологию факторного анализа затрат на персонал: как отклонение между двумя версиями данных раскладывается на понятные бизнес-причины — факторы F01–F11. Для каждого фактора приведено пять блоков: что он показывает, как считается, из каких данных складывается, какие ограничения есть у расчёта и какие альтернативные варианты рассматривались или ещё предстоит выбрать.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1.1. Как читать описание фактора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Что показывает — </w:t>
      </w:r>
      <w:r>
        <w:rPr>
          <w:rFonts w:ascii="Calibri" w:hAnsi="Calibri" w:eastAsia="Calibri"/>
          <w:color w:val="33302A"/>
          <w:sz w:val="21"/>
        </w:rPr>
        <w:t xml:space="preserve">событие, которое фактор объясняет, и почему оно меняет затраты;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Как считается — </w:t>
      </w:r>
      <w:r>
        <w:rPr>
          <w:rFonts w:ascii="Calibri" w:hAnsi="Calibri" w:eastAsia="Calibri"/>
          <w:color w:val="33302A"/>
          <w:sz w:val="21"/>
        </w:rPr>
        <w:t xml:space="preserve">формула на языке бизнес-логики и формальное правило классификации записей;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Из чего складывается — </w:t>
      </w:r>
      <w:r>
        <w:rPr>
          <w:rFonts w:ascii="Calibri" w:hAnsi="Calibri" w:eastAsia="Calibri"/>
          <w:color w:val="33302A"/>
          <w:sz w:val="21"/>
        </w:rPr>
        <w:t xml:space="preserve">источники, поля куба и уровень детализации (grain);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Ограничения — </w:t>
      </w:r>
      <w:r>
        <w:rPr>
          <w:rFonts w:ascii="Calibri" w:hAnsi="Calibri" w:eastAsia="Calibri"/>
          <w:color w:val="33302A"/>
          <w:sz w:val="21"/>
        </w:rPr>
        <w:t xml:space="preserve">что фактор не покрывает и где возможны искажения;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Альтернативы — </w:t>
      </w:r>
      <w:r>
        <w:rPr>
          <w:rFonts w:ascii="Calibri" w:hAnsi="Calibri" w:eastAsia="Calibri"/>
          <w:color w:val="33302A"/>
          <w:sz w:val="21"/>
        </w:rPr>
        <w:t xml:space="preserve">варианты реализации, которые обсуждались или требуют решения до разработки.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1.2. Материал и статус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Основа — рабочий справочник «Факторы первой волны v4» (11 факторов с иерархией, алгоритм расчёта, структура лога MG_COMPENSATION_Log и справочника Dim_Factor). Методологическая база — дополнение к ТЗ-2: 11 факторов, иерархия F06/F07/F11, правила Other, F08 как прямая дельта, два режима Waterfall, отказ от расширенной HR-fact модели. Статус: версия 0.9, согласуется с Reward и Finance.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2. Базовые понятия и данные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2.1. Две версии и отклонение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Факторный анализ всегда сравнивает пару версий: </w:t>
      </w:r>
      <w:r>
        <w:rPr>
          <w:rFonts w:ascii="Calibri" w:hAnsi="Calibri" w:eastAsia="Calibri"/>
          <w:b/>
          <w:color w:val="33302A"/>
          <w:sz w:val="21"/>
        </w:rPr>
        <w:t xml:space="preserve">SV (Selected Version)</w:t>
      </w:r>
      <w:r>
        <w:rPr>
          <w:rFonts w:ascii="Calibri" w:hAnsi="Calibri" w:eastAsia="Calibri"/>
          <w:color w:val="33302A"/>
          <w:sz w:val="21"/>
        </w:rPr>
        <w:t xml:space="preserve"> — анализируемая версия, и </w:t>
      </w:r>
      <w:r>
        <w:rPr>
          <w:rFonts w:ascii="Calibri" w:hAnsi="Calibri" w:eastAsia="Calibri"/>
          <w:b/>
          <w:color w:val="33302A"/>
          <w:sz w:val="21"/>
        </w:rPr>
        <w:t xml:space="preserve">CV (Compared Version)</w:t>
      </w:r>
      <w:r>
        <w:rPr>
          <w:rFonts w:ascii="Calibri" w:hAnsi="Calibri" w:eastAsia="Calibri"/>
          <w:color w:val="33302A"/>
          <w:sz w:val="21"/>
        </w:rPr>
        <w:t xml:space="preserve"> — база сравнения. Базовое отклонение считается на минимальном срезе и является контрольной суммой: сумма всех факторов должна точно сойтись с ним.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SVvsCV = Value(SV) − Value(CV)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по срезу: Month × Legal × GU × MIR × Component (× Person/Assignment для person-level)</w:t>
            </w:r>
          </w:p>
        </w:tc>
      </w:tr>
    </w:tbl>
    <w:p>
      <w:pPr>
        <w:spacing w:after="100"/>
      </w:pPr>
      <w:r/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2.2. FIX и VARIABLE: две части затрат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1500"/>
        <w:gridCol w:w="2200"/>
        <w:gridCol w:w="3600"/>
        <w:gridCol w:w="2000"/>
      </w:tblGrid>
      <w:tr>
        <w:trPr>
          <w:cantSplit/>
          <w:tblHeader/>
        </w:trPr>
        <w:tc>
          <w:tcPr>
            <w:tcW w:w="15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Часть затрат</w:t>
            </w:r>
          </w:p>
        </w:tc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Русское название</w:t>
            </w:r>
          </w:p>
        </w:tc>
        <w:tc>
          <w:tcPr>
            <w:tcW w:w="36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Что входит</w:t>
            </w:r>
          </w:p>
        </w:tc>
        <w:tc>
          <w:tcPr>
            <w:tcW w:w="20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Ключевые данные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FIX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ФОТ до бонуса (фиксированная часть)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Регулярные зарплатные начисления до годовой премии: оклады и постоянные выплаты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Salary, MSU, даты назначения; суммы по Component из MG_COMPENSATION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VARIABLE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Годовая премия (бонусная часть)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Премиальная часть: зависит от eligibility, процента премии и месяца выплаты или резервирования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Annual_Bonus_Percent, Bonus_Scheme_Type, маппинг компонентов, календарь</w:t>
            </w:r>
          </w:p>
        </w:tc>
      </w:tr>
    </w:tbl>
    <w:p>
      <w:pPr>
        <w:spacing w:after="12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Каждый демографический фактор считается раздельно для FIX и VARIABLE и пишется в лог отдельными строками с признаком Cost_Part — иначе в отчётности нельзя разделить влияние на фиксированную и премиальную части. Сотрудник без права на премию (non bonus eligible) создаёт только FIX-эффект.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2.3. Активная доля (ActiveShare)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ActiveShare — доля месяца или года, в которой сотрудник или вакансия участвует в расчёте. Считается как функция дат назначения, статуса активности и ставки (MSU/HC/FTE). Именно через разность ActiveShare между версиями выражаются эффекты полного года (F03, F04, F07_2). Открытый вопрос методологии — единый приоритет источников активности: даты, Assignment_Status или NetStatus.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2.4. Два метода расчёта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3600"/>
        <w:gridCol w:w="35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Метод</w:t>
            </w:r>
          </w:p>
        </w:tc>
        <w:tc>
          <w:tcPr>
            <w:tcW w:w="36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Суть</w:t>
            </w:r>
          </w:p>
        </w:tc>
        <w:tc>
          <w:tcPr>
            <w:tcW w:w="35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Где применяется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PersonID proxy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Сопоставление сотрудников между версиями по Person_Id + Assignment_Id + Month; дельта считается по установленным окладам HRPT-популяции</w:t>
            </w:r>
          </w:p>
        </w:tc>
        <w:tc>
          <w:tcPr>
            <w:tcW w:w="3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F01–F04, F06, F07, длительные отсутствия F11_1–F11_4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Article-to-article delta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Прямая дельта по статьям затрат на финансовом срезе без привязки к сотруднику</w:t>
            </w:r>
          </w:p>
        </w:tc>
        <w:tc>
          <w:tcPr>
            <w:tcW w:w="3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F08–F10, статьевые факторы F11_6–F11_8</w:t>
            </w:r>
          </w:p>
        </w:tc>
      </w:tr>
    </w:tbl>
    <w:p>
      <w:pPr>
        <w:spacing w:after="12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Выбор proxy вместо поимённого финансового факта — осознанное ограничение первой волны: финфакт не всегда поимённый, поэтому демография считается по установленным окладам, а статьи без привязки к людям — прямыми дельтами.</w:t>
      </w:r>
    </w:p>
    <w:p>
      <w:pPr>
        <w:pStyle w:val="Heading2"/>
      </w:pPr>
      <w:r>
        <w:rPr>
          <w:rFonts w:ascii="Calibri" w:hAnsi="Calibri" w:eastAsia="Calibri"/>
          <w:b/>
          <w:color w:val="123B2F"/>
          <w:sz w:val="24"/>
        </w:rPr>
        <w:t xml:space="preserve">2.5. Источники данных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400"/>
        <w:gridCol w:w="4200"/>
        <w:gridCol w:w="2700"/>
      </w:tblGrid>
      <w:tr>
        <w:trPr>
          <w:cantSplit/>
          <w:tblHeader/>
        </w:trPr>
        <w:tc>
          <w:tcPr>
            <w:tcW w:w="24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Объект</w:t>
            </w:r>
          </w:p>
        </w:tc>
        <w:tc>
          <w:tcPr>
            <w:tcW w:w="4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Роль и ключевые поля</w:t>
            </w:r>
          </w:p>
        </w:tc>
        <w:tc>
          <w:tcPr>
            <w:tcW w:w="27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MG_COMPENSATION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Основная таблица сумм бюджета/форкаста/факта: Version_Id, Month_Id, Person_Id, Legal/GU/MIR, Component_Id, HC_Status, Amount, Vacancy_Id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Финансовый факт не всегда поимённый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MG_COMPENSATION_Log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Целевая таблица результата факторизации: пара версий, месяц, срез, factor, Amount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Требует добавления Assignment_Id, Cost_Part и связи с Dim_Factor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A_ASSIGNMENT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HRPT-основа популяции: Person_Id, Assignment_Id, Hire/Termination dates, MSU/HC/FTE, Salary, Annual_Bonus_Percent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Нужна проверка истории и статусов окладов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Component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Справочник бюджетных статей: код, тип, иерархия Comp Tree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Основа маппингов FIX / VARIABLE / Vacation / Reserve / Other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Global Unit / Legal / MIR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Оргструктура, юрлица (периметр, HasPayroll), cost-center / MIR-коды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Нужны правила периметра new legal entity и unmapped MIR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Version / Calendar</w:t>
            </w:r>
          </w:p>
        </w:tc>
        <w:tc>
          <w:tcPr>
            <w:tcW w:w="4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Версии, сценарии, даты эффективности демографии и компенсаций; единый Month_Id</w:t>
            </w:r>
          </w:p>
        </w:tc>
        <w:tc>
          <w:tcPr>
            <w:tcW w:w="2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Нужно правило определения PriorYear для пары версий</w:t>
            </w:r>
          </w:p>
        </w:tc>
      </w:tr>
    </w:tbl>
    <w:p>
      <w:pPr>
        <w:spacing w:after="120"/>
      </w:pPr>
      <w:r/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3. Общий алгоритм расчёта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Расчёт идёт десятью шагами. Ключевой принцип антидублирования: каждая запись классифицируется строго в один фактор по приоритету — поэтому одна и та же дельта не может попасть в два фактора сразу.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500"/>
        <w:gridCol w:w="1900"/>
        <w:gridCol w:w="4000"/>
        <w:gridCol w:w="2900"/>
      </w:tblGrid>
      <w:tr>
        <w:trPr>
          <w:cantSplit/>
          <w:tblHeader/>
        </w:trPr>
        <w:tc>
          <w:tcPr>
            <w:tcW w:w="5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Шаг</w:t>
            </w:r>
          </w:p>
        </w:tc>
        <w:tc>
          <w:tcPr>
            <w:tcW w:w="19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Название</w:t>
            </w:r>
          </w:p>
        </w:tc>
        <w:tc>
          <w:tcPr>
            <w:tcW w:w="40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Что делает система</w:t>
            </w:r>
          </w:p>
        </w:tc>
        <w:tc>
          <w:tcPr>
            <w:tcW w:w="29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1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Выбор версий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Пользователь выбирает SV и CV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Контекст пары сравнения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2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Базовая дельта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SVvsCV = Value(SV) − Value(CV) по срезу Month × Legal × GU × MIR × Component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Контрольная сумма факторизации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3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PersonID proxy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Match SV vs CV по Person_Id + Assignment_Id + Month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Кандидаты F01–F07 и LTL; нельзя матчить наймы с конкретными вакансиями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4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Демография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Классификация по приоритету: NEW_LE → HIRE/LEAVER → VACANCY → TRANSFER → LTL → SALARY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Строки факторов по FIX/VARIABLE без двойного счёта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5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Трансферы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Две строки: +SV на новом срезе (F06_1), −CV на старом (F06_2)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в F06; на общем уровне может давать 0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6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Статья к статье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Прямые дельты по маппингам компонентов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F08–F10 и статьевые подфакторы F11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7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Резервы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Два режима: default исключает F09/F10, with reserves включает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Два представления без пересчёта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8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Остаток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F11_99 = SVvsCV − Σ(F01..F11_9)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Неразложенное отклонение; выше порога — на разбор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9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Запись в лог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 MG_COMPENSATION_Log пишутся только дочерние коды факторов с суммами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Основа Waterfall и drill-down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10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Контроль</w:t>
            </w:r>
          </w:p>
        </w:tc>
        <w:tc>
          <w:tcPr>
            <w:tcW w:w="4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Проверка SVvsCV − Σ(все факторы) = 0</w:t>
            </w:r>
          </w:p>
        </w:tc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DQ-флаг; не 0 — ошибка маппинга или остатка</w:t>
            </w:r>
          </w:p>
        </w:tc>
      </w:tr>
    </w:tbl>
    <w:p>
      <w:pPr>
        <w:spacing w:after="12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Приоритет классификации </w:t>
      </w:r>
      <w:r>
        <w:rPr>
          <w:rFonts w:ascii="Courier New" w:hAnsi="Courier New" w:eastAsia="Courier New"/>
          <w:color w:val="33302A"/>
          <w:sz w:val="21"/>
        </w:rPr>
        <w:t xml:space="preserve">NEW_LE → HIRE/LEAVER → VACANCY → TRANSFER → LTL → SALARY</w:t>
      </w:r>
      <w:r>
        <w:rPr>
          <w:rFonts w:ascii="Calibri" w:hAnsi="Calibri" w:eastAsia="Calibri"/>
          <w:color w:val="33302A"/>
          <w:sz w:val="21"/>
        </w:rPr>
        <w:t xml:space="preserve"> зафиксирован намеренно: события периметра и демографии сильнее компенсационных, поэтому сотрудник, одновременно попадающий под несколько правил, относится к более приоритетному фактору.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4. Карта факторов первой волны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800"/>
        <w:gridCol w:w="2300"/>
        <w:gridCol w:w="1900"/>
        <w:gridCol w:w="2100"/>
        <w:gridCol w:w="2200"/>
      </w:tblGrid>
      <w:tr>
        <w:trPr>
          <w:cantSplit/>
          <w:tblHeader/>
        </w:trPr>
        <w:tc>
          <w:tcPr>
            <w:tcW w:w="8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Код</w:t>
            </w:r>
          </w:p>
        </w:tc>
        <w:tc>
          <w:tcPr>
            <w:tcW w:w="23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Фактор</w:t>
            </w:r>
          </w:p>
        </w:tc>
        <w:tc>
          <w:tcPr>
            <w:tcW w:w="19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Группа</w:t>
            </w:r>
          </w:p>
        </w:tc>
        <w:tc>
          <w:tcPr>
            <w:tcW w:w="2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FIX / VARIABLE</w:t>
            </w:r>
          </w:p>
        </w:tc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Метод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F01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Наймы текущего года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bonus eligible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F02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Увольнения текущего года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премия снимается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F03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Наймы прошлого года — эффект полного года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F04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Увольнения прошлого года — эффект полного года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F05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Вакансии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 / позиция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есть премиальная схема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Vacancy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F06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Трансферы (F06_1 in / F06_2 out)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Сумма дочерних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Two-row movement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F07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Пересмотр оклада (F07_1 ТГ / F07_2 ПГ)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компенсационный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опционально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F08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Отпускные и резерв отпусков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Статья к статье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Да, через component / нет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Direct delta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F09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Восстановление резерва премии ПГ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Резерв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Нет / да, резерв премии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Direct delta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F10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Резерв текущего года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Резерв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Нет / да, резерв премии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Direct delta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Прочее (9 подфакторов + остаток F11_99)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смешанный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По дочерним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/ residual</w:t>
            </w:r>
          </w:p>
        </w:tc>
      </w:tr>
    </w:tbl>
    <w:p>
      <w:pPr>
        <w:spacing w:after="120"/>
      </w:pPr>
      <w:r/>
    </w:p>
    <w:p>
      <w:pPr>
        <w:pStyle w:val="Caption"/>
        <w:spacing w:before="60" w:after="220"/>
      </w:pPr>
      <w:r>
        <w:rPr>
          <w:rFonts w:ascii="Calibri" w:hAnsi="Calibri" w:eastAsia="Calibri"/>
          <w:i/>
          <w:color w:val="6E685B"/>
          <w:sz w:val="18"/>
        </w:rPr>
        <w:t xml:space="preserve">Родительские факторы F06, F07, F11 не пишутся в лог отдельными строками — они собираются из дочерних через справочник Dim_Factor. Так сохраняется направление движения (in/out) и состав группы «Прочее».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F01 · Наймы текущего года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F01 / HIRE_CY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bonus eligible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Assignment_Id + Month + Component + Legal/GU/MIR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HRBP / Reward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Сотрудник присутствует в анализируемой версии (SV) и отсутствует в базе сравнения (CV), при этом дата найма попадает в текущий год. Фактор отвечает на вопрос: «сколько добавили затрат люди, которых год назад (или в базовой версии) не было».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     = FIX_SV − FIX_CV  (по этим сотрудникам)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= VAR_SV − VAR_CV  (только если сотрудник bonus eligible)</w:t>
            </w:r>
          </w:p>
        </w:tc>
      </w:tr>
    </w:tbl>
    <w:p>
      <w:pPr>
        <w:spacing w:after="10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Формальное правило классификации: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SV_exists = 1  AND  CV_exists = 0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AND YEAR(Hire_Date) = SelectedYear  AND NOT NEW_LE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Популяция — A_ASSIGNMENT (Person_Id, Assignment_Id, Hire_Date, статус, MSU); суммы — MG_COMPENSATION по компонентам FIX и премиальным компонентам. Результат пишется в лог со срезами из SV и заполненным Person_Id — это даёт drill-down по людям и месяцам.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поимённый финансовый факт недоступен: сумма — приближение по установленным окладам (HRPT proxy), а не бухгалтерская сумма начислений конкретного человека;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показатель чувствителен к выбору главного статуса активности: даты назначения, Assignment_Status или NetStatus — единое правило ещё не выбрано;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найм не привязывается к конкретной вакансии: связки «вакансия закрыта этим человеком» в модели нет, поэтому F01 и F05 считаются независимо.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считать по поимённому финфакту — отклонено для первой волны: финфакт не всегда поимённый, доработка источника отдельный проект;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1: </w:t>
      </w:r>
      <w:r>
        <w:rPr>
          <w:rFonts w:ascii="Calibri" w:hAnsi="Calibri" w:eastAsia="Calibri"/>
          <w:color w:val="33302A"/>
          <w:sz w:val="21"/>
        </w:rPr>
        <w:t xml:space="preserve">определить главный источник активности: даты vs Assignment_Status vs NetStatus — влияет на все демографические факторы;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2: </w:t>
      </w:r>
      <w:r>
        <w:rPr>
          <w:rFonts w:ascii="Calibri" w:hAnsi="Calibri" w:eastAsia="Calibri"/>
          <w:color w:val="33302A"/>
          <w:sz w:val="21"/>
        </w:rPr>
        <w:t xml:space="preserve">приоритет относительно трансфера: сотрудник с новым назначением в другом юрлице не должен считаться наймом — решается приоритетом классификации (раздел 3).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F02 · Увольнения текущего года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F02 / LEAVER_CY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премия должна быть снята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Assignment_Id + Month + Component + Legal/GU/MIR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HRBP / Reward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Сотрудник есть в базе сравнения (CV) и отсутствует или неактивен в анализируемой версии (SV), увольнение относится к текущему году. Фактор показывает экономию — обычно даёт отрицательную дельту затрат.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     = FIX_SV − FIX_CV  (обычно отрицательно)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= VAR_SV − VAR_CV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CV_exists = 1  AND  SV_exists = 0 (или неактивен)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AND YEAR(Actual_Termination_Date) = SelectedYear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A_ASSIGNMENT (дата фактического увольнения, статус), MG_COMPENSATION (суммы по компонентам). Измерения отрицательной части берутся из CV: экономия «сидит» на том срезе, где человек был раньше.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отсутствие сотрудника в SV может означать не увольнение, а трансфер в другое юрлицо или ошибку данных — поэтому F02 идёт после проверки трансферов в приоритете классификации;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снятие премии при увольнении зависит от премиальной политики: VARIABLE-эффект возникает, только если премия действительно должна быть снята;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увольнение с одновременным новым назначением в другом юрлице — пограничный случай, требует явного правила.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Варианты: </w:t>
      </w:r>
      <w:r>
        <w:rPr>
          <w:rFonts w:ascii="Calibri" w:hAnsi="Calibri" w:eastAsia="Calibri"/>
          <w:color w:val="33302A"/>
          <w:sz w:val="21"/>
        </w:rPr>
        <w:t xml:space="preserve">«увольнение + новый assignment в другом юрлице» трактовать как трансфер (F06) — соответствует текущему приоритету; как увольнение и найм — завышает оба фактора. Рекомендуется трансфер;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вопрос: </w:t>
      </w:r>
      <w:r>
        <w:rPr>
          <w:rFonts w:ascii="Calibri" w:hAnsi="Calibri" w:eastAsia="Calibri"/>
          <w:color w:val="33302A"/>
          <w:sz w:val="21"/>
        </w:rPr>
        <w:t xml:space="preserve">как обрабатывать увольнение и новый assignment в другом юрлице — зафиксировать правило до разработки.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F03 · Наймы прошлого года — эффект полного года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F03 / HIRE_PY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Assignment_Id + Month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Reporting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Сотрудник, нанятый в прошлом году, в базе сравнения работал неполный год, а в анализируемой версии — полный. Фактор выделяет «догрузку» затрат текущего года прошлогодними наймами (annualization) и отделяет её от наймов текущего года (F01).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     = Monthly_FIX_Basis × (ActiveShare_SV − ActiveShare_CV)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— аналогично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YEAR(Hire_Date) = PriorYear  AND  ActiveShare_SV &lt;&gt; ActiveShare_CV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исключить Transfer / NEW_LE / Salary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Месячная база затрат сотрудника (FIX/VARIABLE), разность активных долей между версиями из A_ASSIGNMENT. Запись в лог — по срезам SV.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понятие PriorYear должно быть едино определено для разных пар версий: для пары Forecast vs Actual «прошлый год» считается иначе, чем для Budget vs Forecast;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пересекается с пересмотром оклада прошлого года (F07_2): у одного сотрудника могут быть оба эффекта — приоритет у демографии;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точность целиком зависит от качества ActiveShare — спорные статусы искажают фактор.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не выделять full-year эффект, показывать вместе с F01 — упрощает модель, но смешивает органический рост и эффект календаря, что мешает управленческой интерпретации;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вопрос: </w:t>
      </w:r>
      <w:r>
        <w:rPr>
          <w:rFonts w:ascii="Calibri" w:hAnsi="Calibri" w:eastAsia="Calibri"/>
          <w:color w:val="33302A"/>
          <w:sz w:val="21"/>
        </w:rPr>
        <w:t xml:space="preserve">какой год считать PriorYear для пары Forecast vs Actual — согласовать единое правило с Reward и Reporting.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F04 · Увольнения прошлого года — эффект полного года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F04 / LEAVER_PY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Assignment_Id + Month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Reporting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Зеркальный к F03 фактор: сотрудник, уволенный в прошлом году, в базе сравнения ещё занимал часть года, а в анализируемой версии его затрат нет вовсе. Показывает экономию полного года от прошлогодних увольнений отдельно от увольнений текущего года (F02).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     = Monthly_FIX_Basis × (ActiveShare_SV − ActiveShare_CV)  (обычно отрицательно)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— аналогично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YEAR(Actual_Termination_Date) = PriorYear  AND  ActiveShare_SV &lt;&gt; ActiveShare_CV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Те же источники, что у F03: месячная база затрат и разность активных долей из A_ASSIGNMENT.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может пересекаться с трансфером и новым назначением: уход из одного юрлица в прошлом году и появление в другом не должны давать одновременно F04 и F06 — решается приоритетом;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как отличать увольнение прошлого года от перехода между юрлицами — требует согласованного OrgKey трансфера (см. F06).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объединить с F02 в единый фактор увольнений — отклонено: эффект календарного года и текущие увольнения управляются по-разному;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вопрос: </w:t>
      </w:r>
      <w:r>
        <w:rPr>
          <w:rFonts w:ascii="Calibri" w:hAnsi="Calibri" w:eastAsia="Calibri"/>
          <w:color w:val="33302A"/>
          <w:sz w:val="21"/>
        </w:rPr>
        <w:t xml:space="preserve">правило отличия увольнения ПГ от перехода между юрлицами — зависит от определения OrgKey.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F05 · Вакансии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F05 / VACANCY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Демография / позиция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да, если у вакансии есть премиальная схема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Vacancy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Vacancy_Id / Position_Id; fallback: Month + Legal/GU/MIR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HRBP / Recruitment / Reward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Изменение затрат по плановым вакансиям между версиями: появились новые вакансии, закрыты, изменилась плановая стоимость позиции. Фактор отвечает на вопрос: «сколько стоит изменение плановой, ещё не занятой численности».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     = Vacancy_FIX_SV − Vacancy_FIX_CV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= Vacancy_VAR_SV − Vacancy_VAR_CV  (если есть премиальная схема)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HC_Status = 'vacancy'  OR  Vacancy_Id заполнен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считать по Vacancy_Id/Position_Id или агрегированно (fallback)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MG_COMPENSATION (строки с признаком вакансии, плановая стоимость), A_ASSIGNMENT (Vacancy_Id, Position_Id). В лог пишется с пустым Person_Id (или 0); желательно сохранять Vacancy_Id для drill-down.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нет связи фактического найма с конкретной вакансией: человек, занявший вакансию, попадает в F01, а сама вакансия остаётся в F05 — сознательное допущение, эффекты «раньше/позже планового найма» (earlier/later hire) не считаются;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если Vacancy_Id не заполнен, фактор деградирует до агрегированного сравнения по срезу — теряется детализация до позиции.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матчить наймы с вакансиями (vacancy-to-hire) — отклонено для первой волны: требует качественной связки, которой нет в источниках;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вопрос: </w:t>
      </w:r>
      <w:r>
        <w:rPr>
          <w:rFonts w:ascii="Calibri" w:hAnsi="Calibri" w:eastAsia="Calibri"/>
          <w:color w:val="33302A"/>
          <w:sz w:val="21"/>
        </w:rPr>
        <w:t xml:space="preserve">добавлять ли Vacancy_Id / Position_Id в лог — влияет на аналитику drill-down и на трудоёмкость доработки.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F06 · Трансферы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F06 / TRANSFERS (F06_1 TRANSFER_IN / F06_2 TRANSFER_OUT)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Сумма F06_1 + F06_2 / сумма дочерних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Two-row movement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Month + Legal/GU/MIR (старый и новый срез)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Reporting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Перераспределение затрат между юрлицами, глобальными подразделениями и MIR без изменения общей численности: затраты «уехали» из одного среза в другой. На уровне банка в целом трансферы могут взаимоуничтожаться (неттинг в ноль) — это корректно: фактор важен именно на срезах.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Трансфер пишется двумя строками, чтобы сохранить направление движения: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F06_1 Transfer In  : Amount = +Cost_SV  на НОВОМ срезе (Legal/GU/MIR из SV)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F06_2 Transfer Out : Amount = −Cost_CV  на СТАРОМ срезе (Legal/GU/MIR из CV)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Same Person/Assignment активен в SV и CV  AND  OrgKey_SV &lt;&gt; OrgKey_CV</w:t>
            </w:r>
          </w:p>
        </w:tc>
      </w:tr>
    </w:tbl>
    <w:p>
      <w:pPr>
        <w:spacing w:after="10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Родительский F06 не рассчитывается отдельной строкой — собирается roll-up через Dim_Factor: F06 = F06_1 + F06_2.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Ключ сравнения — Person_Id + Assignment_Id; признак трансфера — изменение OrgKey (состав полей OrgKey — открытый вопрос: Legal / GU / MIR / CAPEX-OPEX). Суммы — MG_COMPENSATION.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если писать в лог только родителя F06, теряется направление движения — поэтому в лог идут обе строки;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без Assignment_Id в логе несколько назначений одного Person_Id могут склеиться в один трансфер;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изменение только MIR (без смены юрлица и подразделения) — пограничный случай: считать трансфером или нет, зависит от состава OrgKey.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писать только netto-строку на родителе — отклонено: теряется направление, невозможен разбор «откуда-куда»;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1: </w:t>
      </w:r>
      <w:r>
        <w:rPr>
          <w:rFonts w:ascii="Calibri" w:hAnsi="Calibri" w:eastAsia="Calibri"/>
          <w:color w:val="33302A"/>
          <w:sz w:val="21"/>
        </w:rPr>
        <w:t xml:space="preserve">какие поля входят в OrgKey трансфера (Legal / GU / MIR / CAPEX-OPEX) — определяет всю логику F06; согласовать с Reward и Finance;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2: </w:t>
      </w:r>
      <w:r>
        <w:rPr>
          <w:rFonts w:ascii="Calibri" w:hAnsi="Calibri" w:eastAsia="Calibri"/>
          <w:color w:val="33302A"/>
          <w:sz w:val="21"/>
        </w:rPr>
        <w:t xml:space="preserve">как обрабатывать изменение только MIR — решить вместе с составом OrgKey.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F07 · Пересмотр оклада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F07 / INCREASE_SALARY (F07_1 CY / F07_2 PY)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компенсационный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 / опционально, если премия зависит от оклада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PersonID proxy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Person_Id + Assignment_Id + Month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Эффект изменения установленного оклада без демографического события: человек тот же, должность та же — изменилась ставка. Разделяется на пересмотр, вступивший в силу в текущем году (F07_1), и эффект полного года от прошлогоднего повышения (F07_2).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 = (Salary_SV − Salary_CV) × ActiveShare × MSU/Allocation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 — аналогично, если премия считается от оклада (опционально)</w:t>
            </w:r>
          </w:p>
        </w:tc>
      </w:tr>
    </w:tbl>
    <w:p>
      <w:pPr>
        <w:spacing w:after="100"/>
      </w:pPr>
      <w:r/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F07_1: Same Person/Assignment/OrgKey  AND  Salary_SV &lt;&gt; Salary_CV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       AND YEAR(Salary_Effective_Date) = SelectedYear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F07_2: то же, но YEAR(Salary_Effective_Date) = PriorYear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Оклады и даты их вступления в силу — A_ASSIGNMENT (Salary, Salary_Effective_Date), активные доли и ставки — там же. Родитель F07 = F07_1 + F07_2 собирается roll-up через Dim_Factor, в лог пишутся только дочерние коды.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нужна надёжная дата вступления оклада в силу: без неё разделение CY/PY условное;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F07_2 может пересекаться с наймом прошлого года (F03): у нанятого в ПГ сотрудника могла вырасти ставка — приоритет у демографии;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VARIABLE-эффект возникает только если премия считается от оклада — для первой волны это опция, а не обязательное правило.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Варианты split: </w:t>
      </w:r>
      <w:r>
        <w:rPr>
          <w:rFonts w:ascii="Calibri" w:hAnsi="Calibri" w:eastAsia="Calibri"/>
          <w:color w:val="33302A"/>
          <w:sz w:val="21"/>
        </w:rPr>
        <w:t xml:space="preserve">делить CY/PY по дате вступления оклада (базовый вариант) vs условное разделение по периоду версий (fallback, если даты нет);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1: </w:t>
      </w:r>
      <w:r>
        <w:rPr>
          <w:rFonts w:ascii="Calibri" w:hAnsi="Calibri" w:eastAsia="Calibri"/>
          <w:color w:val="33302A"/>
          <w:sz w:val="21"/>
        </w:rPr>
        <w:t xml:space="preserve">есть ли в источнике дата вступления оклада в силу — найти source или зафиксировать fallback;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2: </w:t>
      </w:r>
      <w:r>
        <w:rPr>
          <w:rFonts w:ascii="Calibri" w:hAnsi="Calibri" w:eastAsia="Calibri"/>
          <w:color w:val="33302A"/>
          <w:sz w:val="21"/>
        </w:rPr>
        <w:t xml:space="preserve">включать ли VARIABLE-эффект F07 в первую волну или отнести в Samestore — решить с Reward.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F08 · Отпускные и резерв отпусков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F08 / VACATION_PAY_RESERVE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Статья к статье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Да, через component / нет отдельного бонусного эффекта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Article-to-article direct delta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Month + Legal/GU/MIR + Component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Finance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Прямую дельту по отпускным и резерву отпусков между версиями — без эффекта средней численности и без отдельного бонусного эффекта. Отвечает на вопрос: «сколько дало изменение отпускных как статьи».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считается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Amount = ΣSV(VacationMap) − ΣCV(VacationMap)</w:t>
            </w:r>
          </w:p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group by Month, Legal, GU, MIR, Component  where Component in VacationMap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Из чего складывается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MG_COMPENSATION по компонентам из утверждённого VacationMap. В лог пишется без Person_Id (0), с Cost_Part = FIX или RESERVE.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всё определяется маппингом: без утверждённого списка компонентов отпускных дельта уйдёт в «Прочее» или остаток;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метод не видит причину дельты (рост среднего заработка, изменение графиков отпусков, изменение резервной политики) — только итог по статье.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Альтернативы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Вариант A (отклонён): </w:t>
      </w:r>
      <w:r>
        <w:rPr>
          <w:rFonts w:ascii="Calibri" w:hAnsi="Calibri" w:eastAsia="Calibri"/>
          <w:color w:val="33302A"/>
          <w:sz w:val="21"/>
        </w:rPr>
        <w:t xml:space="preserve">считать отпускные пропорционально демографии (эффект средней) — отклонено: избыточно для первой волны, требует отдельной модели среднего заработка;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вопрос: </w:t>
      </w:r>
      <w:r>
        <w:rPr>
          <w:rFonts w:ascii="Calibri" w:hAnsi="Calibri" w:eastAsia="Calibri"/>
          <w:color w:val="33302A"/>
          <w:sz w:val="21"/>
        </w:rPr>
        <w:t xml:space="preserve">какие Component_Id входят в VacationMap — согласовать с Reward и Finance.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13. F09–F10 · Резервы годовой премии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Два фактора работают в паре и относятся к премиальным резервам. Оба — прямые дельты по статьям, оба включаются только в режиме Waterfall «с резервами» (Cost_Part = VARIABLE_RESERVE).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Показывает восстановление резерва премии прошлого года: разницу между тем, что было зарезервировано, и тем, что фактически требуется. Базовый режим Waterfall его исключает, режим с резервами — включает.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Amount = ΣSV(ReserveRestorationPY) − ΣCV(ReserveRestorationPY)</w:t>
            </w:r>
          </w:p>
        </w:tc>
      </w:tr>
    </w:tbl>
    <w:p>
      <w:pPr>
        <w:spacing w:after="10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Критичное требование к данным: до загрузки финфакта банковский резерв должен быть вынесен на отдельную статью — иначе эффект уйдёт в «Прочее» или остаток и станет невидимым.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Показывает дельту текущего резерва, связанного с годовой премией: сколько дополнительно резервируется (или высвобождается) в анализируемой версии.</w:t>
      </w:r>
    </w:p>
    <w:tbl>
      <w:tblPr>
        <w:tblW w:w="5000" w:type="pct"/>
        <w:tblBorders>
          <w:top w:val="nil"/>
          <w:left w:val="single" w:color="B08D3E" w:sz="18"/>
          <w:bottom w:val="nil"/>
          <w:right w:val="nil"/>
          <w:insideH w:val="nil"/>
          <w:insideV w:val="nil"/>
        </w:tblBorders>
      </w:tblPr>
      <w:tblGrid>
        <w:gridCol w:w="9300"/>
      </w:tblGrid>
      <w:tr>
        <w:trPr>
          <w:cantSplit/>
        </w:trPr>
        <w:tc>
          <w:tcPr>
            <w:tcW w:w="9300" w:type="dxa"/>
            <w:shd w:val="clear" w:fill="EFE9DA"/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after="40" w:line="28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Amount = ΣSV(ReserveCurrentYear) − ΣCV(ReserveCurrentYear)</w:t>
            </w:r>
          </w:p>
        </w:tc>
      </w:tr>
    </w:tbl>
    <w:p>
      <w:pPr>
        <w:spacing w:after="10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F09 и F10 нужно однозначно разграничить по компонентам и периодам — иначе возможен двойной учёт;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1: </w:t>
      </w:r>
      <w:r>
        <w:rPr>
          <w:rFonts w:ascii="Calibri" w:hAnsi="Calibri" w:eastAsia="Calibri"/>
          <w:color w:val="33302A"/>
          <w:sz w:val="21"/>
        </w:rPr>
        <w:t xml:space="preserve">где хранить признак ReserveRestorationPY — в маппинге компонентов или отдельным справочником;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2: </w:t>
      </w:r>
      <w:r>
        <w:rPr>
          <w:rFonts w:ascii="Calibri" w:hAnsi="Calibri" w:eastAsia="Calibri"/>
          <w:color w:val="33302A"/>
          <w:sz w:val="21"/>
        </w:rPr>
        <w:t xml:space="preserve">по каким компонентам и периодам отличать F09 от F10 — зафиксировать в ComponentMap.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F11 · Прочее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71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Параметр</w:t>
            </w:r>
          </w:p>
        </w:tc>
        <w:tc>
          <w:tcPr>
            <w:tcW w:w="7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Код / название EN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F11 / OTHER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Тип фактора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смешанный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Влияет на FIX / VARIABLE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По дочерним факторам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Метод расчёта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Roll-up / residual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Уровень расчёта (grain)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8"/>
              </w:rPr>
              <w:t xml:space="preserve">Parent factor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Владелец</w:t>
            </w:r>
          </w:p>
        </w:tc>
        <w:tc>
          <w:tcPr>
            <w:tcW w:w="7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Reporting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Что показывает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Группу методологических, малозначимых или балансирующих факторов. Родитель F11 не пишется в лог — собирается roll-up из девяти подфакторов и остатка F11_99. Если сумма группы превышает порог, состав раскрывается и решается, выносить ли фактор на верхний уровень.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1100"/>
        <w:gridCol w:w="2400"/>
        <w:gridCol w:w="3600"/>
        <w:gridCol w:w="2200"/>
      </w:tblGrid>
      <w:tr>
        <w:trPr>
          <w:cantSplit/>
          <w:tblHeader/>
        </w:trPr>
        <w:tc>
          <w:tcPr>
            <w:tcW w:w="1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Код</w:t>
            </w:r>
          </w:p>
        </w:tc>
        <w:tc>
          <w:tcPr>
            <w:tcW w:w="24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Подфактор</w:t>
            </w:r>
          </w:p>
        </w:tc>
        <w:tc>
          <w:tcPr>
            <w:tcW w:w="36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Что показывает и как считается</w:t>
            </w:r>
          </w:p>
        </w:tc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Особенности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F11_1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Начало длительного отсутствия ТГ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Сотрудник ушёл в long-term leave в текущем году. Amount = Cost_SV − Cost_CV для Person с LTL_Start_Date в ТГ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VARIABLE — если премия снимается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F11_2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Окончание длительного отсутствия ТГ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Возврат из LTL в текущем году. Amount = Cost_SV − Cost_CV для Person с LTL_End_Date в ТГ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VARIABLE — если премия восстанавливается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F11_3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Начало длительного отсутствия ПГ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Эффект полного года начала LTL в прошлом году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F03, но для LTL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F11_4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Окончание длительного отсутствия ПГ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Эффект полного года возврата из LTL в прошлом году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F04, но для LTL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F11_5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Новое юрлицо (NEW_LE)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Расходы по юрлицу, которое есть в SV и отсутствует в периметре CV. Amount = ΣSV − ΣCV, обычно CV = 0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Фактор периметра; при значимости может быть выведен из «Прочего» на верхний уровень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F11_6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Выплаты членам органов управления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Прямая дельта по статьям BoardPaymentsMap, если такие выплаты входят в периметр ФОТ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Особая статья; VARIABLE обычно нет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F11_7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Страхование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Прямая дельта по InsuranceMap, если статьи попали в периметр сравнения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Обычно вне FIX и VARIABLE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F11_8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Выходные пособия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Разовая выплата при увольнении, не объясняемая regular leaver saving. Прямая дельта по SeveranceMap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 дублировать с F02: пособие — статья, экономия на окладе — демография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F11_9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Перенос OPEX/CAPEX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Перераспределение между OPEX и CAPEX без изменения общей суммы: −CV на старом признаке, +SV на новом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Two-row movement, как трансферы, но по признаку CAPEX_OPEX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b/>
                <w:color w:val="33302A"/>
                <w:sz w:val="19"/>
              </w:rPr>
              <w:t xml:space="preserve">F11_99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Неразложенное отклонение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Остаток после всех классифицированных факторов: Residual = SVvsCV − Σ(F01..F11_9)</w:t>
            </w:r>
          </w:p>
        </w:tc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Не бизнес-причина, а индикатор качества методологии и данных</w:t>
            </w:r>
          </w:p>
        </w:tc>
      </w:tr>
    </w:tbl>
    <w:p>
      <w:pPr>
        <w:spacing w:after="120"/>
      </w:pPr>
      <w:r/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Как работает остаток F11_99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После записи всех факторов по каждому срезу считается остаток. Если абсолютное значение остатка выше порога — срез помечается флагом для разбора Reward/Reporting. Значимая повторяющаяся часть остатка — кандидат на выделение в отдельный фактор следующей волны.</w:t>
      </w:r>
    </w:p>
    <w:p>
      <w:pPr>
        <w:pStyle w:val="Heading3"/>
      </w:pPr>
      <w:r>
        <w:rPr>
          <w:rFonts w:ascii="Calibri" w:hAnsi="Calibri" w:eastAsia="Calibri"/>
          <w:b/>
          <w:color w:val="33302A"/>
          <w:sz w:val="22"/>
        </w:rPr>
        <w:t xml:space="preserve">Ограничения и открытые вопросы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color w:val="33302A"/>
          <w:sz w:val="21"/>
        </w:rPr>
        <w:t xml:space="preserve">«Прочее» не должно становиться свалкой: при превышении порога состав раскрывается на комитете;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1: </w:t>
      </w:r>
      <w:r>
        <w:rPr>
          <w:rFonts w:ascii="Calibri" w:hAnsi="Calibri" w:eastAsia="Calibri"/>
          <w:color w:val="33302A"/>
          <w:sz w:val="21"/>
        </w:rPr>
        <w:t xml:space="preserve">какой процесс перевода NEW_LE из Other в верхнеуровневый фактор — описать governance;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Открытый вопрос 2: </w:t>
      </w:r>
      <w:r>
        <w:rPr>
          <w:rFonts w:ascii="Calibri" w:hAnsi="Calibri" w:eastAsia="Calibri"/>
          <w:color w:val="33302A"/>
          <w:sz w:val="21"/>
        </w:rPr>
        <w:t xml:space="preserve">какой порог для F11 / F11_99: абсолютная сумма, процент от отклонения или комбинация — установить до реализации.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15. Два режима Waterfall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Отчёт строится в двух представлениях без пересчёта модели — переключение реализуется флагами в справочнике Dim_Factor (Default_Waterfall / With_Reserves_Waterfall):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200"/>
        <w:gridCol w:w="3400"/>
        <w:gridCol w:w="3700"/>
      </w:tblGrid>
      <w:tr>
        <w:trPr>
          <w:cantSplit/>
          <w:tblHeader/>
        </w:trPr>
        <w:tc>
          <w:tcPr>
            <w:tcW w:w="22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Режим</w:t>
            </w:r>
          </w:p>
        </w:tc>
        <w:tc>
          <w:tcPr>
            <w:tcW w:w="34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Состав</w:t>
            </w:r>
          </w:p>
        </w:tc>
        <w:tc>
          <w:tcPr>
            <w:tcW w:w="37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Когда использовать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Default (без резервов)</w:t>
            </w:r>
          </w:p>
        </w:tc>
        <w:tc>
          <w:tcPr>
            <w:tcW w:w="3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F01–F08, F11 без F09/F10</w:t>
            </w:r>
          </w:p>
        </w:tc>
        <w:tc>
          <w:tcPr>
            <w:tcW w:w="3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Операционный разбор отклонений; сопоставимость с планом, где резервы не выделяются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With Reserves (с резервами)</w:t>
            </w:r>
          </w:p>
        </w:tc>
        <w:tc>
          <w:tcPr>
            <w:tcW w:w="3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Полный набор, включая F09 и F10 (Cost_Part = VARIABLE_RESERVE)</w:t>
            </w:r>
          </w:p>
        </w:tc>
        <w:tc>
          <w:tcPr>
            <w:tcW w:w="37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Финансовая отчётность и сверка с учётными данными, где резервы премии видны отдельно</w:t>
            </w:r>
          </w:p>
        </w:tc>
      </w:tr>
    </w:tbl>
    <w:p>
      <w:pPr>
        <w:spacing w:after="120"/>
      </w:pPr>
      <w:r/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Иерархия и порядок показа факторов также живут в Dim_Factor: родительские коды (F06, F07, F11), русские названия и сортировка для Waterfall. Благодаря этому изменение состава режимов и названий не требует пересчёта лога.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16. Контроль качества и сходимость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Сходимость: </w:t>
      </w:r>
      <w:r>
        <w:rPr>
          <w:rFonts w:ascii="Calibri" w:hAnsi="Calibri" w:eastAsia="Calibri"/>
          <w:color w:val="33302A"/>
          <w:sz w:val="21"/>
        </w:rPr>
        <w:t xml:space="preserve">после всех вставок по каждому срезу проверяется равенство SVvsCV − Σ(все факторы) = 0; неравенство — ошибка маппинга или неучтённый остаток;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Остаток: </w:t>
      </w:r>
      <w:r>
        <w:rPr>
          <w:rFonts w:ascii="Calibri" w:hAnsi="Calibri" w:eastAsia="Calibri"/>
          <w:color w:val="33302A"/>
          <w:sz w:val="21"/>
        </w:rPr>
        <w:t xml:space="preserve">остаток F11_99 выше порога помечается флагом и уходит на разбор Reward/Reporting;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Антидублирование: </w:t>
      </w:r>
      <w:r>
        <w:rPr>
          <w:rFonts w:ascii="Calibri" w:hAnsi="Calibri" w:eastAsia="Calibri"/>
          <w:color w:val="33302A"/>
          <w:sz w:val="21"/>
        </w:rPr>
        <w:t xml:space="preserve">каждая запись классифицируется ровно в один фактор по приоритету NEW_LE → HIRE/LEAVER → VACANCY → TRANSFER → LTL → SALARY;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Drill-down: </w:t>
      </w:r>
      <w:r>
        <w:rPr>
          <w:rFonts w:ascii="Calibri" w:hAnsi="Calibri" w:eastAsia="Calibri"/>
          <w:color w:val="33302A"/>
          <w:sz w:val="21"/>
        </w:rPr>
        <w:t xml:space="preserve">person-level факторы дают drill-down по Person_Id и месяцам; статьевые — по срезу Month × Legal × GU × MIR × Component;</w:t>
      </w:r>
    </w:p>
    <w:p>
      <w:pPr>
        <w:numPr>
          <w:ilvl w:val="0"/>
          <w:numId w:val="1"/>
        </w:numPr>
        <w:spacing w:after="80" w:line="300" w:lineRule="auto"/>
      </w:pPr>
      <w:r>
        <w:rPr>
          <w:rFonts w:ascii="Calibri" w:hAnsi="Calibri" w:eastAsia="Calibri"/>
          <w:b/>
          <w:color w:val="33302A"/>
          <w:sz w:val="21"/>
        </w:rPr>
        <w:t xml:space="preserve">Приёмка: </w:t>
      </w:r>
      <w:r>
        <w:rPr>
          <w:rFonts w:ascii="Calibri" w:hAnsi="Calibri" w:eastAsia="Calibri"/>
          <w:color w:val="33302A"/>
          <w:sz w:val="21"/>
        </w:rPr>
        <w:t xml:space="preserve">проверка сходимости суммы факторов с SVvsCV — ключевой сценарий приёмки (UAT).</w:t>
      </w:r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17. Открытые вопросы к реализации</w:t>
      </w:r>
    </w:p>
    <w:p>
      <w:pPr>
        <w:spacing w:after="140" w:line="300" w:lineRule="auto"/>
      </w:pPr>
      <w:r>
        <w:rPr>
          <w:rFonts w:ascii="Calibri" w:hAnsi="Calibri" w:eastAsia="Calibri"/>
          <w:color w:val="33302A"/>
          <w:sz w:val="21"/>
        </w:rPr>
        <w:t xml:space="preserve">Вопросы, которые нужно решить до разработки. Полный реестр — в листе 07 рабочего справочника.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500"/>
        <w:gridCol w:w="3300"/>
        <w:gridCol w:w="3600"/>
        <w:gridCol w:w="1900"/>
      </w:tblGrid>
      <w:tr>
        <w:trPr>
          <w:cantSplit/>
          <w:tblHeader/>
        </w:trPr>
        <w:tc>
          <w:tcPr>
            <w:tcW w:w="5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№</w:t>
            </w:r>
          </w:p>
        </w:tc>
        <w:tc>
          <w:tcPr>
            <w:tcW w:w="33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Вопрос</w:t>
            </w:r>
          </w:p>
        </w:tc>
        <w:tc>
          <w:tcPr>
            <w:tcW w:w="36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Рекомендуемое действие</w:t>
            </w:r>
          </w:p>
        </w:tc>
        <w:tc>
          <w:tcPr>
            <w:tcW w:w="19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Владелец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1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Добавлять ли Assignment_Id в MG_COMPENSATION_Log? Иначе несколько назначений одного Person_Id смешиваются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Оценить трудозатраты и включить в доработку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СА / разработчик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2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хранить Cost_Part: отдельным полем или через Component mapping?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Выбрать технический вариант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СА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3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Какие Component_Id входят в FIX, Variable, Vacation, F09, F10 и подфакторы Other?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Сформировать ComponentMap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Finance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4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Какие поля входят в OrgKey для трансферов?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Согласовать Legal / GU / MIR / CAPEX-OPEX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Finance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5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Какой порог для F11 Other / F11_99?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Установить сумму / процент / комбинацию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Reporting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6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делить пересмотр оклада на CY/PY без даты вступления?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Найти источник даты или зафиксировать fallback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 / HRIS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7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Включать ли VARIABLE-эффект F07 в первую волну?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Решить для Samestore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8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обрабатывать non bonus eligible сотрудников?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Завести флаг / правило в модели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9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Когда NEW_LE выносится из Other?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Описать governance выноса фактора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PM / Reward</w:t>
            </w:r>
          </w:p>
        </w:tc>
      </w:tr>
      <w:tr>
        <w:trPr>
          <w:cantSplit/>
        </w:trPr>
        <w:tc>
          <w:tcPr>
            <w:tcW w:w="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10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Как обеспечить Sum(факторы) = SVvsCV?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Добавить DQ-проверку в расчёт</w:t>
            </w:r>
          </w:p>
        </w:tc>
        <w:tc>
          <w:tcPr>
            <w:tcW w:w="1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Разработчик / СА</w:t>
            </w:r>
          </w:p>
        </w:tc>
      </w:tr>
    </w:tbl>
    <w:p>
      <w:pPr>
        <w:spacing w:after="120"/>
      </w:pPr>
      <w:r/>
    </w:p>
    <w:p>
      <w:pPr>
        <w:pStyle w:val="Heading1"/>
      </w:pPr>
      <w:r>
        <w:rPr>
          <w:rFonts w:ascii="Calibri" w:hAnsi="Calibri" w:eastAsia="Calibri"/>
          <w:b/>
          <w:color w:val="123B2F"/>
          <w:sz w:val="30"/>
        </w:rPr>
        <w:t xml:space="preserve">18. Глоссарий</w:t>
      </w:r>
    </w:p>
    <w:tbl>
      <w:tblPr>
        <w:tblW w:w="5000" w:type="pct"/>
        <w:tblBorders>
          <w:top w:val="single" w:color="123B2F" w:sz="8"/>
          <w:left w:val="nil"/>
          <w:bottom w:val="single" w:color="123B2F" w:sz="8"/>
          <w:right w:val="nil"/>
          <w:insideH w:val="single" w:color="DCD5C3" w:sz="2"/>
          <w:insideV w:val="nil"/>
        </w:tblBorders>
      </w:tblPr>
      <w:tblGrid>
        <w:gridCol w:w="2400"/>
        <w:gridCol w:w="1800"/>
        <w:gridCol w:w="5100"/>
      </w:tblGrid>
      <w:tr>
        <w:trPr>
          <w:cantSplit/>
          <w:tblHeader/>
        </w:trPr>
        <w:tc>
          <w:tcPr>
            <w:tcW w:w="24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Термин</w:t>
            </w:r>
          </w:p>
        </w:tc>
        <w:tc>
          <w:tcPr>
            <w:tcW w:w="18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Код</w:t>
            </w:r>
          </w:p>
        </w:tc>
        <w:tc>
          <w:tcPr>
            <w:tcW w:w="5100" w:type="dxa"/>
            <w:shd w:val="clear" w:fill="123B2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 xml:space="preserve">Определение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ФОТ до бонуса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FIX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Фиксированная часть затрат до годовой премии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Годовая премия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VARIABLE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Бонусная часть через eligibility, % премии, месяц выплаты / резерва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Сотрудник / назначение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Person_Id + Assignment_Id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Базовый ключ person-level факторов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Анализируемая версия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SV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Версия, которую анализируем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Версия сравнения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CV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База сравнения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Отклонение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SVvsCV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Value(SV) − Value(CV); контроль сходимости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Срез расчёта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Grain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Месяц, юрлицо, GU, MIR, Component, Person/Assignment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Лог факторов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MG_COMPENSATION_Log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Таблица результата факторизации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Справочник факторов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Dim_Factor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Иерархия, русские названия, сортировка, режимы Waterfall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Прямая дельта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Article-to-article delta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Сравнение SV vs CV на финансовом срезе без PersonID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Приближение по HRPT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PersonID proxy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Расчёт по HRPT-популяции и установленным окладам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Неразложенное отклонение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F11_99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Остаток после классификации факторов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b/>
                <w:color w:val="33302A"/>
                <w:sz w:val="19"/>
              </w:rPr>
              <w:t xml:space="preserve">Эффект полного года</w:t>
            </w:r>
          </w:p>
        </w:tc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ourier New" w:hAnsi="Courier New" w:eastAsia="Courier New"/>
                <w:color w:val="33302A"/>
                <w:sz w:val="19"/>
              </w:rPr>
              <w:t xml:space="preserve">Full-year / annualization</w:t>
            </w:r>
          </w:p>
        </w:tc>
        <w:tc>
          <w:tcPr>
            <w:tcW w:w="5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Calibri"/>
                <w:color w:val="33302A"/>
                <w:sz w:val="19"/>
              </w:rPr>
              <w:t xml:space="preserve">Догрузка затрат текущего года событиями прошлого года</w:t>
            </w:r>
          </w:p>
        </w:tc>
      </w:tr>
    </w:tbl>
    <w:p>
      <w:pPr>
        <w:spacing w:after="120"/>
      </w:pPr>
      <w:r/>
    </w:p>
    <w:p>
      <w:pPr>
        <w:pStyle w:val="Caption"/>
        <w:spacing w:before="60" w:after="220"/>
      </w:pPr>
      <w:r>
        <w:rPr>
          <w:rFonts w:ascii="Calibri" w:hAnsi="Calibri" w:eastAsia="Calibri"/>
          <w:i/>
          <w:color w:val="6E685B"/>
          <w:sz w:val="18"/>
        </w:rPr>
        <w:t xml:space="preserve">Источники: дополнение к ТЗ-2 (11 факторов, иерархия, два режима Waterfall, отказ от расширенной HR-fact модели); BudgetSystem.xmla (структура куба MG_COMPENSATION, A_ASSIGNMENT, измерения); рабочий справочник «Факторы первой волны v4».</w:t>
      </w:r>
    </w:p>
    <w:p>
      <w:pPr>
        <w:sectPr>
          <w:headerReference w:type="default" r:id="R39893904e27c46d8"/>
          <w:footerReference w:type="default" r:id="R442b7f7a40874d80"/>
          <w:type w:val="nextPage"/>
          <w:pgSz w:w="11906" w:h="16838"/>
          <w:pgMar w:top="1600" w:right="1280" w:bottom="1280" w:left="1280" w:header="720" w:footer="720"/>
        </w:sectPr>
      </w:pPr>
    </w:p>
    <w:p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2" name="BackB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g.png"/>
                    <pic:cNvPicPr/>
                  </pic:nvPicPr>
                  <pic:blipFill>
                    <a:blip r:embed="R839966d9479e47ed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7600"/>
      </w:pPr>
      <w:r/>
    </w:p>
    <w:p>
      <w:pPr>
        <w:spacing w:after="120"/>
        <w:ind w:left="640"/>
      </w:pPr>
      <w:r>
        <w:rPr>
          <w:rFonts w:ascii="Calibri" w:hAnsi="Calibri" w:eastAsia="Calibri"/>
          <w:b/>
          <w:color w:val="F7F3E8"/>
          <w:sz w:val="32"/>
        </w:rPr>
        <w:t xml:space="preserve">Методология факторного анализа</w:t>
      </w:r>
    </w:p>
    <w:p>
      <w:pPr>
        <w:spacing w:after="200"/>
        <w:ind w:left="640"/>
      </w:pPr>
      <w:r>
        <w:rPr>
          <w:rFonts w:ascii="Calibri" w:hAnsi="Calibri" w:eastAsia="Calibri"/>
          <w:color w:val="B08D3E"/>
          <w:sz w:val="22"/>
        </w:rPr>
        <w:t xml:space="preserve">Бюджетная система по затратам на персонал</w:t>
      </w:r>
    </w:p>
    <w:p>
      <w:pPr>
        <w:ind w:left="640"/>
      </w:pPr>
      <w:r>
        <w:rPr>
          <w:rFonts w:ascii="Calibri" w:hAnsi="Calibri" w:eastAsia="Calibri"/>
          <w:color w:val="DCD5C3"/>
          <w:sz w:val="19"/>
        </w:rPr>
        <w:t xml:space="preserve">Вопросы по методологии — Reward / Reporting; владелец документа — PM проекта (A.O.)</w:t>
      </w:r>
    </w:p>
    <w:sectPr>
      <w:headerReference w:type="default" r:id="Ra1934b9360664c71"/>
      <w:footerReference w:type="default" r:id="R837b5b9a483043bc"/>
      <w:pgSz w:w="11906" w:h="16838"/>
      <w:pgMar w:top="0" w:right="0" w:bottom="0" w:left="0" w:header="0" w:foo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E685B"/>
        <w:sz w:val="17"/>
      </w:rPr>
      <w:fldChar w:fldCharType="begin"/>
    </w:r>
    <w:r>
      <w:rPr>
        <w:color w:val="6E685B"/>
        <w:sz w:val="17"/>
      </w:rPr>
      <w:instrText xml:space="preserve"> PAGE </w:instrText>
    </w:r>
    <w:r>
      <w:rPr>
        <w:color w:val="6E685B"/>
        <w:sz w:val="17"/>
      </w:rPr>
      <w:fldChar w:fldCharType="separate"/>
    </w:r>
    <w:r>
      <w:rPr>
        <w:rFonts w:ascii="Calibri" w:hAnsi="Calibri" w:eastAsia="Calibri"/>
        <w:color w:val="6E685B"/>
        <w:sz w:val="17"/>
      </w:rPr>
      <w:t xml:space="preserve">1</w:t>
    </w:r>
    <w:r>
      <w:rPr>
        <w:color w:val="6E685B"/>
        <w:sz w:val="17"/>
      </w:rPr>
      <w:fldChar w:fldCharType="end"/>
    </w:r>
  </w:p>
</w:ftr>
</file>

<file path=word/footer2.xml><?xml version="1.0" encoding="utf-8"?>
<w:ftr xmlns:w="http://schemas.openxmlformats.org/wordprocessingml/2006/main">
  <w:p>
    <w:r/>
  </w:p>
</w:ftr>
</file>

<file path=word/header1.xml><?xml version="1.0" encoding="utf-8"?>
<w:hdr xmlns:w="http://schemas.openxmlformats.org/wordprocessingml/2006/main">
  <w:p>
    <w:pPr>
      <w:jc w:val="right"/>
    </w:pPr>
    <w:r>
      <w:rPr>
        <w:rFonts w:ascii="Calibri" w:hAnsi="Calibri" w:eastAsia="Calibri"/>
        <w:color w:val="6E685B"/>
        <w:sz w:val="17"/>
      </w:rPr>
      <w:t xml:space="preserve">Методология факторного анализа · бюджетная система по затратам на персонал</w:t>
    </w:r>
  </w:p>
</w:hdr>
</file>

<file path=word/header2.xml><?xml version="1.0" encoding="utf-8"?>
<w:hdr xmlns:w="http://schemas.openxmlformats.org/wordprocessingml/2006/main">
  <w:p>
    <w:r/>
  </w:p>
</w:hd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numFmt w:val="bullet"/>
      <w:lvlText w:val="•"/>
      <w:pPr>
        <w:ind w:left="460" w:hanging="260"/>
      </w:pPr>
      <w:rPr>
        <w:rFonts w:ascii="Calibri" w:hAnsi="Calibri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styleId="Normal" w:default="true">
    <w:name w:val="Normal"/>
    <w:pPr>
      <w:spacing w:after="140" w:line="300" w:lineRule="auto"/>
    </w:pPr>
    <w:rPr>
      <w:rFonts w:ascii="Calibri" w:hAnsi="Calibri" w:eastAsia="Calibri"/>
      <w:color w:val="33302A"/>
      <w:sz w:val="21"/>
    </w:rPr>
  </w:style>
  <w:style w:type="paragraph" w:styleId="Heading1">
    <w:name w:val="heading 1"/>
    <w:basedOn w:val="Normal"/>
    <w:pPr>
      <w:keepNext/>
      <w:keepLines/>
      <w:spacing w:before="480" w:after="200"/>
      <w:outlineLvl w:val="0"/>
    </w:pPr>
    <w:rPr>
      <w:rFonts w:ascii="Calibri" w:hAnsi="Calibri" w:eastAsia="Calibri"/>
      <w:b/>
      <w:color w:val="123B2F"/>
      <w:sz w:val="30"/>
    </w:rPr>
  </w:style>
  <w:style w:type="paragraph" w:styleId="Heading2">
    <w:name w:val="heading 2"/>
    <w:basedOn w:val="Normal"/>
    <w:pPr>
      <w:keepNext/>
      <w:keepLines/>
      <w:spacing w:before="320" w:after="140"/>
      <w:outlineLvl w:val="1"/>
    </w:pPr>
    <w:rPr>
      <w:rFonts w:ascii="Calibri" w:hAnsi="Calibri" w:eastAsia="Calibri"/>
      <w:b/>
      <w:color w:val="123B2F"/>
      <w:sz w:val="24"/>
    </w:rPr>
  </w:style>
  <w:style w:type="paragraph" w:styleId="Heading3">
    <w:name w:val="heading 3"/>
    <w:basedOn w:val="Normal"/>
    <w:pPr>
      <w:keepNext/>
      <w:keepLines/>
      <w:spacing w:before="240" w:after="100"/>
      <w:outlineLvl w:val="2"/>
    </w:pPr>
    <w:rPr>
      <w:rFonts w:ascii="Calibri" w:hAnsi="Calibri" w:eastAsia="Calibri"/>
      <w:b/>
      <w:color w:val="33302A"/>
      <w:sz w:val="22"/>
    </w:rPr>
  </w:style>
  <w:style w:type="paragraph" w:styleId="Caption">
    <w:name w:val="Caption"/>
    <w:basedOn w:val="Normal"/>
    <w:pPr>
      <w:spacing w:before="60" w:after="220"/>
    </w:pPr>
    <w:rPr>
      <w:rFonts w:ascii="Calibri" w:hAnsi="Calibri" w:eastAsia="Calibri"/>
      <w:i/>
      <w:color w:val="6E685B"/>
      <w:sz w:val="18"/>
    </w:rPr>
  </w:style>
  <w:style w:type="paragraph" w:styleId="TOC1">
    <w:name w:val="toc 1"/>
    <w:basedOn w:val="Normal"/>
    <w:pPr>
      <w:tabs>
        <w:tab w:val="right" w:leader="dot" w:pos="9350"/>
      </w:tabs>
      <w:spacing w:before="160" w:after="60"/>
      <w:ind w:left="0"/>
    </w:pPr>
    <w:rPr>
      <w:rFonts w:ascii="Calibri" w:hAnsi="Calibri" w:eastAsia="Calibri"/>
      <w:b/>
      <w:color w:val="33302A"/>
    </w:rPr>
  </w:style>
  <w:style w:type="paragraph" w:styleId="TOC2">
    <w:name w:val="toc 2"/>
    <w:basedOn w:val="Normal"/>
    <w:pPr>
      <w:tabs>
        <w:tab w:val="right" w:leader="dot" w:pos="9350"/>
      </w:tabs>
      <w:spacing w:before="40" w:after="60"/>
      <w:ind w:left="360"/>
    </w:pPr>
    <w:rPr>
      <w:rFonts w:ascii="Calibri" w:hAnsi="Calibri" w:eastAsia="Calibri"/>
      <w:color w:val="6E685B"/>
    </w:rPr>
  </w:style>
</w:styles>
</file>

<file path=word/_rels/document.xml.rels><?xml version='1.0' encoding='UTF-8'?>
<Relationships xmlns="http://schemas.openxmlformats.org/package/2006/relationships"><Relationship Type="http://schemas.openxmlformats.org/officeDocument/2006/relationships/styles" Target="styles.xml" Id="Rdf6b106eadcb4fb3" /><Relationship Type="http://schemas.openxmlformats.org/officeDocument/2006/relationships/numbering" Target="numbering.xml" Id="R03089359305d498f" /><Relationship Type="http://schemas.openxmlformats.org/officeDocument/2006/relationships/settings" Target="settings.xml" Id="R4de605b228a34652" /><Relationship Type="http://schemas.openxmlformats.org/officeDocument/2006/relationships/image" Target="media/image.png" Id="Rf768ad67e60847c0" /><Relationship Type="http://schemas.openxmlformats.org/officeDocument/2006/relationships/image" Target="media/image2.png" Id="R839966d9479e47ed" /><Relationship Type="http://schemas.openxmlformats.org/officeDocument/2006/relationships/header" Target="header1.xml" Id="R39893904e27c46d8" /><Relationship Type="http://schemas.openxmlformats.org/officeDocument/2006/relationships/footer" Target="footer1.xml" Id="R442b7f7a40874d80" /><Relationship Type="http://schemas.openxmlformats.org/officeDocument/2006/relationships/header" Target="header2.xml" Id="Ra1934b9360664c71" /><Relationship Type="http://schemas.openxmlformats.org/officeDocument/2006/relationships/footer" Target="footer2.xml" Id="R837b5b9a483043bc" /></Relationships>
</file>