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"/>
        <w:gridCol w:w="6590"/>
      </w:tblGrid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A941D5">
              <w:rPr>
                <w:b/>
                <w:bCs/>
                <w:sz w:val="20"/>
                <w:lang w:eastAsia="ru-RU"/>
              </w:rPr>
              <w:t>№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A941D5">
              <w:rPr>
                <w:b/>
                <w:bCs/>
                <w:sz w:val="20"/>
                <w:lang w:eastAsia="ru-RU"/>
              </w:rPr>
              <w:t>Наименование</w:t>
            </w:r>
          </w:p>
        </w:tc>
      </w:tr>
      <w:tr w:rsidR="00A941D5" w:rsidRPr="00A941D5" w:rsidTr="006D0C6F">
        <w:trPr>
          <w:trHeight w:val="253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41D5" w:rsidRPr="00A941D5" w:rsidRDefault="00A941D5">
            <w:pPr>
              <w:jc w:val="right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1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941D5" w:rsidRPr="00A941D5" w:rsidRDefault="00A941D5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Справочник МРОТ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right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2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Единая предельная  величина базы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right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3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Единый тариф взносов с базы не превышающей предельную величину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right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4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Единый тариф взносов с сумм превышающей предельную величину базы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right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5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Единый тариф взносов с базы н</w:t>
            </w:r>
            <w:bookmarkStart w:id="0" w:name="_GoBack"/>
            <w:bookmarkEnd w:id="0"/>
            <w:r w:rsidRPr="00A941D5">
              <w:rPr>
                <w:sz w:val="20"/>
                <w:lang w:eastAsia="ru-RU"/>
              </w:rPr>
              <w:t>е превышающей предельную величину (ИНТЦ*)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right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6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  <w:lang w:eastAsia="ru-RU"/>
              </w:rPr>
            </w:pPr>
            <w:proofErr w:type="spellStart"/>
            <w:r w:rsidRPr="00A941D5">
              <w:rPr>
                <w:sz w:val="20"/>
                <w:lang w:eastAsia="ru-RU"/>
              </w:rPr>
              <w:t>коэф</w:t>
            </w:r>
            <w:proofErr w:type="spellEnd"/>
            <w:r w:rsidRPr="00A941D5">
              <w:rPr>
                <w:sz w:val="20"/>
                <w:lang w:eastAsia="ru-RU"/>
              </w:rPr>
              <w:t>-т для МРОТ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jc w:val="right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7</w:t>
            </w: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Взносы на несчастные случаи (травматизм)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A941D5" w:rsidRPr="00A941D5" w:rsidTr="006D0C6F">
        <w:trPr>
          <w:trHeight w:val="288"/>
        </w:trPr>
        <w:tc>
          <w:tcPr>
            <w:tcW w:w="7621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i/>
                <w:iCs/>
                <w:sz w:val="20"/>
                <w:lang w:eastAsia="ru-RU"/>
              </w:rPr>
            </w:pPr>
            <w:r w:rsidRPr="00A941D5">
              <w:rPr>
                <w:i/>
                <w:iCs/>
                <w:sz w:val="20"/>
                <w:lang w:eastAsia="ru-RU"/>
              </w:rPr>
              <w:t>*ИНТЦ - инновационный научно-технологический центр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b/>
                <w:bCs/>
                <w:sz w:val="20"/>
                <w:lang w:eastAsia="ru-RU"/>
              </w:rPr>
            </w:pPr>
            <w:r w:rsidRPr="00A941D5">
              <w:rPr>
                <w:b/>
                <w:bCs/>
                <w:sz w:val="20"/>
                <w:lang w:eastAsia="ru-RU"/>
              </w:rPr>
              <w:t>Расчет 1 (стандарт):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1. Для сумм, до единой предельной величины базы, ставка 30%</w:t>
            </w:r>
          </w:p>
        </w:tc>
      </w:tr>
      <w:tr w:rsidR="00A941D5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A941D5" w:rsidRPr="00A941D5" w:rsidRDefault="00A941D5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2. Для сумм свыше предельной величины, ставка 15,1 %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3. Взносы на несчастные случаи (травматизм) - рассчитываются не зависимо от суммы предельной базы. С общей суммы начислений за месяц - 0,2%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b/>
                <w:bCs/>
                <w:sz w:val="20"/>
                <w:lang w:eastAsia="ru-RU"/>
              </w:rPr>
            </w:pPr>
            <w:r w:rsidRPr="00A941D5">
              <w:rPr>
                <w:b/>
                <w:bCs/>
                <w:sz w:val="20"/>
                <w:lang w:eastAsia="ru-RU"/>
              </w:rPr>
              <w:t>Расчет 2 (ИНТЦ)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b/>
                <w:bCs/>
                <w:color w:val="963634"/>
                <w:sz w:val="20"/>
                <w:lang w:eastAsia="ru-RU"/>
              </w:rPr>
            </w:pPr>
            <w:r w:rsidRPr="00A941D5">
              <w:rPr>
                <w:b/>
                <w:bCs/>
                <w:color w:val="963634"/>
                <w:sz w:val="20"/>
                <w:lang w:eastAsia="ru-RU"/>
              </w:rPr>
              <w:t>Схема расчета для сумм НЕ превышающих предельную величину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Сумма выплат за месяц облагается сл. образом: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1. МРОТ * 1,5 * 30%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2. Остальная сумма по ставке 15%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3. Взносы на несчастные случаи (травматизм) - рассчитываются не зависимо от суммы предельной базы. С</w:t>
            </w:r>
            <w:r>
              <w:rPr>
                <w:sz w:val="20"/>
                <w:lang w:eastAsia="ru-RU"/>
              </w:rPr>
              <w:t xml:space="preserve"> </w:t>
            </w:r>
            <w:r w:rsidRPr="00A941D5">
              <w:rPr>
                <w:sz w:val="20"/>
                <w:lang w:eastAsia="ru-RU"/>
              </w:rPr>
              <w:t>общей суммы начислений за месяц - 0,2%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  <w:lang w:eastAsia="ru-RU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b/>
                <w:bCs/>
                <w:color w:val="963634"/>
                <w:sz w:val="20"/>
                <w:lang w:eastAsia="ru-RU"/>
              </w:rPr>
            </w:pPr>
            <w:r w:rsidRPr="00A941D5">
              <w:rPr>
                <w:b/>
                <w:bCs/>
                <w:color w:val="963634"/>
                <w:sz w:val="20"/>
                <w:lang w:eastAsia="ru-RU"/>
              </w:rPr>
              <w:t>Схема расчета для сумм превышающих предельную величину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Сумма выплат за месяц облагается сл. образом: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1. МРОТ * 1,5 * 15,1%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2. Остальная сумма по ставке 15%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ind w:firstLine="220"/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 xml:space="preserve">3. Взносы на несчастные случаи (травматизм) - рассчитываются не зависимо </w:t>
            </w:r>
            <w:r>
              <w:rPr>
                <w:sz w:val="20"/>
                <w:lang w:eastAsia="ru-RU"/>
              </w:rPr>
              <w:t xml:space="preserve">от суммы предельной базы. С </w:t>
            </w:r>
            <w:r w:rsidRPr="00A941D5">
              <w:rPr>
                <w:sz w:val="20"/>
                <w:lang w:eastAsia="ru-RU"/>
              </w:rPr>
              <w:t>общей суммы начислений за месяц - 0,2%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rFonts w:ascii="Times New Roman" w:eastAsia="Times New Roman" w:hAnsi="Times New Roman" w:cs="Times New Roman"/>
                <w:sz w:val="18"/>
                <w:szCs w:val="20"/>
                <w:lang w:eastAsia="ru-RU"/>
              </w:rPr>
            </w:pP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b/>
                <w:bCs/>
                <w:sz w:val="20"/>
                <w:lang w:eastAsia="ru-RU"/>
              </w:rPr>
            </w:pPr>
            <w:r w:rsidRPr="00A941D5">
              <w:rPr>
                <w:b/>
                <w:bCs/>
                <w:sz w:val="20"/>
                <w:lang w:eastAsia="ru-RU"/>
              </w:rPr>
              <w:t>Общие комментарии: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rPr>
                <w:b/>
                <w:bCs/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для бюджета след. года  (расчет октябрь, ноябрь текущего года) нужно учитывать планируемую выплату</w:t>
            </w:r>
            <w:r>
              <w:rPr>
                <w:sz w:val="20"/>
                <w:lang w:eastAsia="ru-RU"/>
              </w:rPr>
              <w:t xml:space="preserve"> </w:t>
            </w:r>
            <w:r w:rsidRPr="00A941D5">
              <w:rPr>
                <w:sz w:val="20"/>
                <w:lang w:eastAsia="ru-RU"/>
              </w:rPr>
              <w:t>годового бонуса в феврале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rPr>
                <w:sz w:val="20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D0C6F" w:rsidRPr="00A941D5" w:rsidRDefault="006D0C6F" w:rsidP="006D0C6F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для целей актуализации бюджета и прогноза - нужно учитывать факт выплаты годового бонуса</w:t>
            </w:r>
          </w:p>
        </w:tc>
      </w:tr>
      <w:tr w:rsidR="006D0C6F" w:rsidRPr="00A941D5" w:rsidTr="006D0C6F">
        <w:trPr>
          <w:trHeight w:val="288"/>
        </w:trPr>
        <w:tc>
          <w:tcPr>
            <w:tcW w:w="1031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  <w:lang w:eastAsia="ru-RU"/>
              </w:rPr>
            </w:pPr>
          </w:p>
        </w:tc>
        <w:tc>
          <w:tcPr>
            <w:tcW w:w="659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6D0C6F" w:rsidRPr="00A941D5" w:rsidRDefault="006D0C6F" w:rsidP="006D0C6F">
            <w:pPr>
              <w:rPr>
                <w:sz w:val="20"/>
                <w:lang w:eastAsia="ru-RU"/>
              </w:rPr>
            </w:pPr>
            <w:r w:rsidRPr="00A941D5">
              <w:rPr>
                <w:sz w:val="20"/>
                <w:lang w:eastAsia="ru-RU"/>
              </w:rPr>
              <w:t>также нужно учитывать выплаты квартальных бонусов</w:t>
            </w:r>
          </w:p>
        </w:tc>
      </w:tr>
    </w:tbl>
    <w:p w:rsidR="006D0C6F" w:rsidRDefault="006D0C6F">
      <w:pPr>
        <w:rPr>
          <w:sz w:val="20"/>
        </w:rPr>
      </w:pPr>
    </w:p>
    <w:p w:rsidR="006D0C6F" w:rsidRPr="00A941D5" w:rsidRDefault="006D0C6F">
      <w:pPr>
        <w:rPr>
          <w:sz w:val="20"/>
        </w:rPr>
      </w:pPr>
    </w:p>
    <w:sectPr w:rsidR="006D0C6F" w:rsidRPr="00A941D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1D5"/>
    <w:rsid w:val="0057779E"/>
    <w:rsid w:val="006D0C6F"/>
    <w:rsid w:val="00A941D5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CF714"/>
  <w15:chartTrackingRefBased/>
  <w15:docId w15:val="{021232D9-6249-4A97-B74D-D851DDEB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41D5"/>
    <w:pPr>
      <w:spacing w:after="0" w:line="240" w:lineRule="auto"/>
    </w:pPr>
    <w:rPr>
      <w:rFonts w:ascii="Calibri" w:hAnsi="Calibri" w:cs="Calibri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7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2</cp:revision>
  <dcterms:created xsi:type="dcterms:W3CDTF">2026-08-11T06:54:00Z</dcterms:created>
  <dcterms:modified xsi:type="dcterms:W3CDTF">2026-08-11T06:59:00Z</dcterms:modified>
</cp:coreProperties>
</file>