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АЛЬБОМ ОТЧЁТНЫХ ФОРМ</w:t>
        <w:br/>
      </w:r>
      <w:r>
        <w:rPr>
          <w:b/>
          <w:color w:val="17365D"/>
          <w:sz w:val="44"/>
        </w:rPr>
        <w:t>Форма 1 — Компенсационные расходы (ФОТ)</w:t>
      </w:r>
    </w:p>
    <w:p>
      <w:pPr>
        <w:jc w:val="center"/>
      </w:pPr>
      <w:r>
        <w:rPr>
          <w:color w:val="5B6573"/>
          <w:sz w:val="26"/>
        </w:rPr>
        <w:t>Development-ready Functional Design / версия для передачи в разработку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03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Версия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1.1 — проект для технического согласования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Основа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Функциональный дизайн v1.0 от 14.09.2026 + макет Form 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Статус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DRAFT / требуется закрытие открытых решений перед разработкой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Владелец бизнес-логики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HR-аналитика / контроллинг персонала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Цель документа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Однозначно отделить бизнес-логику формы от системного маппинга и технической реализации</w:t>
            </w:r>
          </w:p>
        </w:tc>
      </w:tr>
    </w:tbl>
    <w:p>
      <w:pPr>
        <w:spacing w:after="20"/>
      </w:pPr>
    </w:p>
    <w:p>
      <w:pPr>
        <w:pStyle w:val="Callout"/>
      </w:pPr>
      <w:r>
        <w:rPr>
          <w:b/>
        </w:rPr>
        <w:t xml:space="preserve">Принцип документа: </w:t>
      </w:r>
      <w:r>
        <w:t>методолог определяет смысл, состав, формулы и ожидаемый результат; BA/SA связывает это с моделью данных; Tech Lead подтверждает слой расчёта и реализуемость; разработчик реализует техническую формулу. Жёлтым отмечены решения, которых нет в исходной спецификации и которые нельзя безопасно додумывать.</w:t>
      </w:r>
    </w:p>
    <w:p>
      <w:r>
        <w:br w:type="page"/>
      </w:r>
    </w:p>
    <w:p>
      <w:pPr>
        <w:pStyle w:val="Heading1"/>
      </w:pPr>
      <w:r>
        <w:t>1. Что изменено относительно версии 1.0</w:t>
      </w:r>
    </w:p>
    <w:p>
      <w:pPr>
        <w:pStyle w:val="ListBullet"/>
        <w:spacing w:after="40"/>
      </w:pPr>
      <w:r>
        <w:t>Добавлен обязательный слой Data Mapping: каждая листовая строка должна быть связана с конкретным показателем/статьёй/атрибутом модели данных.</w:t>
      </w:r>
    </w:p>
    <w:p>
      <w:pPr>
        <w:pStyle w:val="ListBullet"/>
        <w:spacing w:after="40"/>
      </w:pPr>
      <w:r>
        <w:t>Добавлены тип расчёта и тип агрегации: SOURCE / CALCULATED / DERIVED KPI и SUM / CLOSING / AVERAGE / RATIO.</w:t>
      </w:r>
    </w:p>
    <w:p>
      <w:pPr>
        <w:pStyle w:val="ListBullet"/>
        <w:spacing w:after="40"/>
      </w:pPr>
      <w:r>
        <w:t>Формализована временная логика MTD / YTD / FY отдельно для потоковых и моментных показателей.</w:t>
      </w:r>
    </w:p>
    <w:p>
      <w:pPr>
        <w:pStyle w:val="ListBullet"/>
        <w:spacing w:after="40"/>
      </w:pPr>
      <w:r>
        <w:t>Добавлены Version Logic, Data Grain, Sign Convention и правило обработки unmapped-данных.</w:t>
      </w:r>
    </w:p>
    <w:p>
      <w:pPr>
        <w:pStyle w:val="ListBullet"/>
        <w:spacing w:after="40"/>
      </w:pPr>
      <w:r>
        <w:t>Разделено место расчёта: модель/семантический слой vs слой отчёта. Конкретное архитектурное решение по корпоративным итогам оставлено на Tech Lead.</w:t>
      </w:r>
    </w:p>
    <w:p>
      <w:pPr>
        <w:pStyle w:val="ListBullet"/>
        <w:spacing w:after="40"/>
      </w:pPr>
      <w:r>
        <w:t>Контроли качества преобразованы в проверяемые acceptance criteria.</w:t>
      </w:r>
    </w:p>
    <w:p>
      <w:pPr>
        <w:pStyle w:val="ListBullet"/>
        <w:spacing w:after="40"/>
      </w:pPr>
      <w:r>
        <w:t>Сохранены исходные бизнес-формулы и словарь строк; места, не определённые исходным документом, помечены как «ТРЕБУЕТ РЕШЕНИЯ».</w:t>
      </w:r>
    </w:p>
    <w:p>
      <w:pPr>
        <w:pStyle w:val="Heading1"/>
      </w:pPr>
      <w:r>
        <w:t>2. Назначение и границы формы</w:t>
      </w:r>
    </w:p>
    <w:p>
      <w:r>
        <w:t>Форма предназначена для контроля фонда оплаты труда: сравнения Факта и Бюджета по компонентам компенсации и сверки кадрового/расчётного учёта (ДРП) с финансовым учётом (ФД). Отчёт обезличенный; базовая детализация представления — юридическое лицо × строка отчёта.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535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ДРП (HR)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Управленческий взгляд на начисления и HR-показатели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Факт / Бюджет / отклонение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ФД (FINANCE)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Финансовый взгляд на те же строки через бухгалтерские данные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Факт / Бюджет / отклонение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Δ ДРП/ФД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Построчная сверка двух учётов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ДРП − ФД; ненулевые значения требуют анализа</w:t>
            </w:r>
          </w:p>
        </w:tc>
      </w:tr>
    </w:tbl>
    <w:p>
      <w:pPr>
        <w:spacing w:after="20"/>
      </w:pPr>
    </w:p>
    <w:p>
      <w:pPr>
        <w:pStyle w:val="Heading1"/>
      </w:pPr>
      <w:r>
        <w:t>3. Параметры формы и логика версий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835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Значение/пример</w:t>
            </w:r>
          </w:p>
        </w:tc>
        <w:tc>
          <w:tcPr>
            <w:tcW w:type="dxa" w:w="39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Статус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Период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Месяц отчёта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Определяет MTD, YTD и FY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Определено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Периметр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Версия организационной структуры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Фильтр данных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Определено концептуально; требуется системный атрибут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Юридическое лицо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Выбранное юрлицо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Обязательный фильтр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Определено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Валюта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Рубли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Валюта представления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Определено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Капитализация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excl./incl.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Включение/исключение капитализируемых затрат</w:t>
            </w:r>
          </w:p>
        </w:tc>
        <w:tc>
          <w:tcPr>
            <w:tcW w:type="dxa" w:w="34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РЕШЕНИЯ: состав статей и поведение ДРП/ФД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Actual Version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Версия факта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Системная версия фактических данных</w:t>
            </w:r>
          </w:p>
        </w:tc>
        <w:tc>
          <w:tcPr>
            <w:tcW w:type="dxa" w:w="34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РЕШЕНИЯ: точное значение/код версии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Comparison Version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Budget Final / Forecast 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Версия сравнения</w:t>
            </w:r>
          </w:p>
        </w:tc>
        <w:tc>
          <w:tcPr>
            <w:tcW w:type="dxa" w:w="34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РЕШЕНИЯ: фиксирована или выбирается пользователем</w:t>
            </w:r>
          </w:p>
        </w:tc>
      </w:tr>
    </w:tbl>
    <w:p>
      <w:pPr>
        <w:spacing w:after="20"/>
      </w:pPr>
    </w:p>
    <w:p>
      <w:r>
        <w:t>Рекомендация: даже если Actual Version и Comparison Version не выводятся пользователю в шапке, они должны быть явными параметрами системной логики, чтобы исключить неоднозначность при появлении нескольких Budget/Forecast версий.</w:t>
      </w:r>
    </w:p>
    <w:p>
      <w:pPr>
        <w:pStyle w:val="Heading1"/>
      </w:pPr>
      <w:r>
        <w:t>4. Расчётный grain и маппинг данных</w:t>
      </w:r>
    </w:p>
    <w:p>
      <w:r>
        <w:t>Исходный документ задаёт представление отчёта на уровне юридического лица × типа компенсации, но не определяет технический grain до агрегации. Для разработки это критично.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Элемент</w:t>
            </w:r>
          </w:p>
        </w:tc>
        <w:tc>
          <w:tcPr>
            <w:tcW w:type="dxa" w:w="56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Предлагаемое требование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Статус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Минимальный расчётный grain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 × Month × Legal Entity × MIR × Article × Accounting View × Capitalization × Currency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ПРЕДЛОЖЕНИЕ — подтвердить по структуре куба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Представление формы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Legal Entity × Report Row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Подтверждено исходным дизайном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ДРП/ФД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Accounting View должен однозначно разделять HR и Finance значения либо использовать разные меры/источники</w:t>
            </w:r>
          </w:p>
        </w:tc>
        <w:tc>
          <w:tcPr>
            <w:tcW w:type="dxa" w:w="34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РЕШЕНИЯ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Маппинг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 Row ID ↔ Source Article/Measure/Attribute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ЗАПОЛНЕНИЯ BA/SA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Unmapped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Непромаппированные суммы не должны молча исчезать</w:t>
            </w:r>
          </w:p>
        </w:tc>
        <w:tc>
          <w:tcPr>
            <w:tcW w:type="dxa" w:w="34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РЕШЕНИЯ: ошибка / отдельная строка / warning</w:t>
            </w:r>
          </w:p>
        </w:tc>
      </w:tr>
    </w:tbl>
    <w:p>
      <w:pPr>
        <w:spacing w:after="20"/>
      </w:pPr>
    </w:p>
    <w:p>
      <w:pPr>
        <w:pStyle w:val="Heading1"/>
      </w:pPr>
      <w:r>
        <w:t>5. Типы расчёта и агрегации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56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Значение агрегируется непосредственно из модели по маппингу строки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Оклад, резерв отпусков, выплата бонуса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CALCULATED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Значение рассчитывается из других строк формы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Итого оклад, FIX, Total C&amp;B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 KPI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Показатель имеет отдельную бизнес-логику и не является простой суммой строк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соцвзносов, HC Closing, MSU Closing, ССЧ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Aggregation Type</w:t>
            </w:r>
          </w:p>
        </w:tc>
        <w:tc>
          <w:tcPr>
            <w:tcW w:type="dxa" w:w="850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Логика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SUM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Сумма операций/начислений за период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CLOSING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Значение на последнюю релевантную дату периода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Среднее по методологии показателя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RATIO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Отношение отдельно агрегированных числителя и знаменателя</w:t>
            </w:r>
          </w:p>
        </w:tc>
      </w:tr>
    </w:tbl>
    <w:p>
      <w:pPr>
        <w:spacing w:after="20"/>
      </w:pPr>
    </w:p>
    <w:p>
      <w:pPr>
        <w:pStyle w:val="Heading1"/>
      </w:pPr>
      <w:r>
        <w:t>6. Временная логика MTD / YTD / 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Тип показателя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MTD</w:t>
            </w:r>
          </w:p>
        </w:tc>
        <w:tc>
          <w:tcPr>
            <w:tcW w:type="dxa" w:w="39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YTD</w:t>
            </w:r>
          </w:p>
        </w:tc>
        <w:tc>
          <w:tcPr>
            <w:tcW w:type="dxa" w:w="39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SUM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Сумма выбранного месяца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Сумма с 01.01 по конец выбранного месяца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Годовой Budget/Comparison Version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CLOSING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Значение на конец выбранного месяца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То же closing-значение на конец выбранного месяца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Плановое closing-значение по принятой бюджетной логике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Среднее за выбранный месяц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Среднее за период 01.01–конец выбранного месяца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Плановое годовое значение по методологии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RATIO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MTD Numerator / MTD Denominator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YTD Numerator / YTD Denominator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FY Numerator / FY Denominator, если показатель применим</w:t>
            </w:r>
          </w:p>
        </w:tc>
      </w:tr>
    </w:tbl>
    <w:p>
      <w:pPr>
        <w:spacing w:after="20"/>
      </w:pPr>
    </w:p>
    <w:p>
      <w:pPr>
        <w:pStyle w:val="Heading2"/>
      </w:pPr>
      <w:r>
        <w:t>6.1. Оставшийся бюджет — требуется решение</w:t>
      </w:r>
    </w:p>
    <w:p>
      <w:r>
        <w:rPr>
          <w:b/>
        </w:rPr>
        <w:t xml:space="preserve">В исходной версии: Remaining Budget = YTD Fact − FY Budget. </w:t>
      </w:r>
      <w:r>
        <w:t>При таком определении неизрасходованный остаток отображается отрицательным. Это математически последовательно, но семантически конфликтует с названием «Оставшийся бюджет».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Формула</w:t>
            </w:r>
          </w:p>
        </w:tc>
        <w:tc>
          <w:tcPr>
            <w:tcW w:type="dxa" w:w="56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Интерпретация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— рекомендованный для UI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FY Budget − YTD Fact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Положительное значение = бюджет ещё доступен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 — сохранить исходную формулу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YTD Fact − FY Budget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Отрицательное значение = неизрасходованный бюджет; переименовать показатель</w:t>
            </w:r>
          </w:p>
        </w:tc>
      </w:tr>
    </w:tbl>
    <w:p>
      <w:pPr>
        <w:spacing w:after="20"/>
      </w:pPr>
    </w:p>
    <w:p>
      <w:r>
        <w:rPr>
          <w:b/>
          <w:highlight w:val="yellow"/>
        </w:rPr>
        <w:t>ТРЕБУЕТ РЕШЕНИЯ ВЛАДЕЛЬЦА ФОРМЫ до разработки.</w:t>
      </w:r>
    </w:p>
    <w:p>
      <w:pPr>
        <w:pStyle w:val="Heading1"/>
      </w:pPr>
      <w:r>
        <w:t>7. Sign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9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7937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Базовые начисления/выплаты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Положительный знак увеличивает расходы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Сторно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Использовать знак источника; если сторно хранится отрицательным, дополнительное инвертирование в отчёте не выполнять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Δ Fact vs Budget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Fact − Budget; положительная дельта = превышение факта над бюджетом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Δ ДРП/ФД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ДРП − ФД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Отрицательные проводки/корректировки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менять знак без явного правила маппинга</w:t>
            </w:r>
          </w:p>
        </w:tc>
      </w:tr>
    </w:tbl>
    <w:p>
      <w:pPr>
        <w:spacing w:after="20"/>
      </w:pPr>
    </w:p>
    <w:p>
      <w:r>
        <w:rPr>
          <w:b/>
          <w:highlight w:val="yellow"/>
        </w:rPr>
        <w:t>ТРЕБУЕТ РЕШЕНИЯ: подтвердить, что сторно резервов в модели действительно хранится с отрицательным знаком.</w:t>
      </w:r>
    </w:p>
    <w:p>
      <w:pPr>
        <w:pStyle w:val="Heading1"/>
      </w:pPr>
      <w:r>
        <w:t>8. Матрица расчёта строк — бизнес-логика и техническая постановка</w:t>
      </w:r>
    </w:p>
    <w:p>
      <w:r>
        <w:t>Ниже сохранён исходный словарь строк. Новые колонки не подменяют техническую спецификацию: Source Mapping заполняется BA/SA после сверки со структурой куба. Для CALCULATED-строк формула берётся из исходного документа.</w:t>
      </w:r>
    </w:p>
    <w:p>
      <w:pPr>
        <w:sectPr>
          <w:footerReference w:type="default" r:id="rId9"/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737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Row ID</w:t>
            </w:r>
          </w:p>
        </w:tc>
        <w:tc>
          <w:tcPr>
            <w:tcW w:type="dxa" w:w="294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Показатель</w:t>
            </w:r>
          </w:p>
        </w:tc>
        <w:tc>
          <w:tcPr>
            <w:tcW w:type="dxa" w:w="1361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Calc Type</w:t>
            </w:r>
          </w:p>
        </w:tc>
        <w:tc>
          <w:tcPr>
            <w:tcW w:type="dxa" w:w="1247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Aggregation</w:t>
            </w:r>
          </w:p>
        </w:tc>
        <w:tc>
          <w:tcPr>
            <w:tcW w:type="dxa" w:w="408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Бизнес-формула / правило</w:t>
            </w:r>
          </w:p>
        </w:tc>
        <w:tc>
          <w:tcPr>
            <w:tcW w:type="dxa" w:w="39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Source Mapping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Слой расчёта</w:t>
            </w:r>
          </w:p>
        </w:tc>
        <w:tc>
          <w:tcPr>
            <w:tcW w:type="dxa" w:w="311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Примечание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ДРП / HR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Заголовок блока данных кадрового учёта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Оклад / Salary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Начисленные оклады за период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База для страховых взносов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оклад / Social securities on salaries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взносы, начисленные на оклад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оклад / Total Salary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Оклад + Страховые взносы на оклад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Резерв на отпуск / Accruals for unused vacations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Резерв на неиспользованные отпуска (начисление)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Оценочное обязательство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резерв отпусков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Взносы на резерв отпусков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резерв на отпуск / Total vacation accruals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Резерв + Взносы на резерв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Оплата больничных листов / Sick leave compensation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Оплата больничных за счёт работодателя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больничные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Взносы на больничные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больничные / Total sick leave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Больничные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Декрет / Maternity leave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Пособия по беременности и родам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декрет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Взносы на декрет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декрет / Total maternity leave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Декрет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Фиксированное вознаграждение / FIX compensation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Итого оклад + Итого резерв отпусков + Итого больничные + Итого декрет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ТРЕБУЕТ РЕШЕНИЯ Tech Lead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Ядро фиксированного ФОТ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Расходы на страхование (ДМС, НС) / Health &amp; welfare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ДМС и страхование от несчастных случаев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Прочие бенефиты / Other benefits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Негосударственные бенефиты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Бенефиты / Benefits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ДМС/НС + Прочие бенефиты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Прочие выплаты / Remaining Other Compensation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Прочие разовые выплаты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29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прочие выплаты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прочие выплаты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Прочие выплаты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Премия разовая / Sign-ons – cash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Разовые премии при приёме (sign-on)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премию разовую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премия разовая / Total sign-ons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Премия разовая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Выплаты при увольнении / Direct severance payments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Выходные пособия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выплаты при увольнении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выплаты при увольнении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Выплаты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Отложенное вознаграждение / Deferred Compensation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Отложенные выплаты (деферралы)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отложенное вознаграждение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39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отложенное вознаграждение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Отложенное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Прочие компенсационные выплаты / Other Compensations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Итого прочие выплаты + Итого премия разовая + Итого увольнения + Итого отложенное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Сводная строка разовых выплат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Резерв квартальной премии / Accruals for Quarterly bonus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Начисление резерва квартальной премии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резерв квартальной премии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резерв квартальной премии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Резерв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Сторно резерва квартальной премии / Reverse accruals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Списание (сторно) резерва квартальной премии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сторно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сторно резерва квартальной премии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Сторно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Квартальная премия, выплата / Quarterly bonus cash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Фактическая выплата квартальной премии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квартальную премию (выплата)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49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квартальная премия, выплата / Total quarterly cash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Выплата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Квартальная премия / Quarterly bonus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Резерв + Сторно + Выплата (все — итоги с взносами)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Полная стоимость квартальной премии за период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ФОТ до бонуса / FIX compensation before Bonus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Квартальная премия + Прочие комп. выплаты + Бенефиты + Фикс. вознаграждение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ТРЕБУЕТ РЕШЕНИЯ Tech Lead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ФОТ без годового бонуса и корректировок прошлых лет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Резерв бонуса прошлых лет / Under- &amp; overaccruals – cash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Корректировка (до-/начисление) резерва бонусов прошлых лет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 бюджете HR отсутствует; в HR-блоке факт = 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корректировку резерва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корректировка резерва прошлых лет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Корректировка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Резерв бонуса прошлых лет (итоговая)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строка 54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Техническая строка-подстановка в итог ФОТ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Резерв годового бонуса / Bonus discretionary Accrual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Начисление резерва годового бонуса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 образце: месяц = 1/12 годового бюджета, YTD = 1/2 годового бюджета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резерв годового бонуса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резерв годового бонуса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Резерв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59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Сторно резерва годового бонуса / Reverse bonus accrual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Списание резерва годового бонуса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сторно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сторно резерва годового бонуса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Сторно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Годовой бонус, выплата / Bonus discretionary cash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Выплата годового бонуса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Бюджет распределяется равномерно: месяц = FY/12, YTD = FY × доля года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Страховые взносы на годовой бонус (выплата)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годовой бонус, выплата / Total bonus cash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Выплата + Взносы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ТРЕБУЕТ РЕШЕНИЯ Tech Lead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Годовой бонус / Bonus discretionary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Резерв + Сторно + Выплата (все — итоги с взносами)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ТРЕБУЕТ РЕШЕНИЯ Tech Lead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Полная стоимость годового бонуса за период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компенсации и льготы / Total C&amp;B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ROLL-UP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ФОТ до бонуса + Годовой бонус + Корректировка резерва прошлых лет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ТРЕБУЕТ РЕШЕНИЯ Tech Lead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Главный итог формы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% страховых взносов / % Social Security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RATIO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Σ взносов / Σ баз начислений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Только на факт выплат, без резервов бонусов (см. раздел 10, №3)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Численность на основном месте / HC Closing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DERIVED KPI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CLOSING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Штатные сотрудники на конец периода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69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Численность – совместители / Part-time employees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CALCULATED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CLOSING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= Итого сотрудников − основное место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N/A — рассчитывается из строк формы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Report/Semantic — уточнить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Итого сотрудников / Total Employees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Общая численность на конец периода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MSU на конец периода / MSU Closing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DERIVED KPI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CLOSING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Сумма долей фиксированных окладов (MSU) по юрлицу и центрам затрат (MIR code) на конец периода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Сумма MSU сотрудника по всем юрлицам ≤ 1; 0 — при неоплачиваемом отпуске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ССЧ / Average headcount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DERIVED KPI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AVERAGE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Среднесписочная численность за период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TBD — BA/SA: источник / статья / мера / фильтры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Semantic/Data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—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9. Специальные показатели</w:t>
      </w:r>
    </w:p>
    <w:p>
      <w:pPr>
        <w:pStyle w:val="Heading2"/>
      </w:pPr>
      <w:r>
        <w:t>9.1. % страховых взносов</w:t>
      </w:r>
    </w:p>
    <w:p>
      <w:r>
        <w:t>Исходная формула: сумма взносов на соответствующие выплаты / сумма соответствующих баз начислений; резервы бонусов исключаются. Для разработки требуется закрытый перечень Row ID в числителе и знаменателе.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56"/>
        <w:gridCol w:w="6956"/>
      </w:tblGrid>
      <w:tr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7937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Numerator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ТРЕБУЕТ РЕШЕНИЯ: закрытый перечень строк страховых взносов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Denominator</w:t>
            </w:r>
          </w:p>
        </w:tc>
        <w:tc>
          <w:tcPr>
            <w:tcW w:type="dxa" w:w="7937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ТРЕБУЕТ РЕШЕНИЯ: закрытый перечень строк баз начислений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Zero denominator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Показывать «–», не рассчитывать процент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Aggregation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RATIO: сначала агрегировать числитель и знаменатель, затем делить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Связь с новой методологией соцвзносов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Отчёт должен использовать единый классификатор базы/взноса, а не отдельную независимую логику</w:t>
            </w:r>
          </w:p>
        </w:tc>
      </w:tr>
    </w:tbl>
    <w:p>
      <w:pPr>
        <w:spacing w:after="20"/>
      </w:pPr>
    </w:p>
    <w:p>
      <w:pPr>
        <w:pStyle w:val="Heading2"/>
      </w:pPr>
      <w:r>
        <w:t>9.2. HC Closing / MSU Closing / ССЧ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51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Бизнес-смысл из исходной версии</w:t>
            </w:r>
          </w:p>
        </w:tc>
        <w:tc>
          <w:tcPr>
            <w:tcW w:type="dxa" w:w="51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Что требуется для реализации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HC Closing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Штатные сотрудники на основном месте на конец периода</w:t>
            </w:r>
          </w:p>
        </w:tc>
        <w:tc>
          <w:tcPr>
            <w:tcW w:type="dxa" w:w="51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TBD: точные фильтры PersonID / HC Status / employment type / дата snapshot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MSU Closing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Сумма MSU по юрлицу и MIR на конец периода; по сотруднику ≤ 1</w:t>
            </w:r>
          </w:p>
        </w:tc>
        <w:tc>
          <w:tcPr>
            <w:tcW w:type="dxa" w:w="51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TBD: источник меры, snapshot-date, правила по неоплачиваемому отпуску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ССЧ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Среднесписочная численность за период</w:t>
            </w:r>
          </w:p>
        </w:tc>
        <w:tc>
          <w:tcPr>
            <w:tcW w:type="dxa" w:w="510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TBD: готовая мера источника или точная формула расчёта</w:t>
            </w:r>
          </w:p>
        </w:tc>
      </w:tr>
    </w:tbl>
    <w:p>
      <w:pPr>
        <w:spacing w:after="20"/>
      </w:pPr>
    </w:p>
    <w:p>
      <w:pPr>
        <w:pStyle w:val="Heading1"/>
      </w:pPr>
      <w:r>
        <w:t>10. Где выполняются расчёты</w:t>
      </w:r>
    </w:p>
    <w:p>
      <w:r>
        <w:t>Исходная версия предлагает считать итоговые строки и блок Δ на стороне отчёта. Для переиспользуемых корпоративных метрик это архитектурно рискованно: разные отчёты могут реализовать одну метрику по-разному.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Класс расчёта</w:t>
            </w:r>
          </w:p>
        </w:tc>
        <w:tc>
          <w:tcPr>
            <w:tcW w:type="dxa" w:w="39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Предлагаемый слой</w:t>
            </w:r>
          </w:p>
        </w:tc>
        <w:tc>
          <w:tcPr>
            <w:tcW w:type="dxa" w:w="51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Комментарий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Leaf/source rows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Data/Semantic layer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Отчёт получает уже однозначно промаппированные значения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Корпоративные агрегаты FIX / Variable / Total C&amp;B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ТРЕБУЕТ РЕШЕНИЯ Tech Lead: предпочтительно Semantic/Cube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Единая формула для всех потребителей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Δ Fact vs Budget, Δ ДРП/ФД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Report/Semantic layer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Допустимо считать в отчёте при единой конвенции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Форматирование, скобки, прочерк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Presentation layer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Только отображение, без изменения бизнес-значения</w:t>
            </w:r>
          </w:p>
        </w:tc>
      </w:tr>
    </w:tbl>
    <w:p>
      <w:pPr>
        <w:spacing w:after="20"/>
      </w:pPr>
    </w:p>
    <w:p>
      <w:pPr>
        <w:pStyle w:val="Heading1"/>
      </w:pPr>
      <w:r>
        <w:t>11. Контроль качества и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9"/>
        <w:gridCol w:w="2319"/>
        <w:gridCol w:w="2319"/>
        <w:gridCol w:w="2319"/>
        <w:gridCol w:w="2319"/>
        <w:gridCol w:w="2319"/>
      </w:tblGrid>
      <w:tr>
        <w:tc>
          <w:tcPr>
            <w:tcW w:type="dxa" w:w="113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Контроль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Формула</w:t>
            </w:r>
          </w:p>
        </w:tc>
        <w:tc>
          <w:tcPr>
            <w:tcW w:type="dxa" w:w="1701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22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Tolerance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Действие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QC-01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Итого C&amp;B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R66 = R51 + R55 + R65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ERROR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/ техническая точность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Форма не должна публиковаться при нарушении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QC-02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Сверка ДРП/ФД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ABS(HR_R66 − FIN_R66) &lt;= tolerance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WARNING/ERROR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ТРЕБУЕТ РЕШЕНИЯ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Вывести расхождение на разбор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QC-03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MSU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MSU PersonID &lt;= 1 и MSU &gt;= 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ERROR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Флаг качества данных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QC-04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Unmapped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Сумма непомаппированных статей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ERROR/WARNING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ТРЕБУЕТ РЕШЕНИЯ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допускать тихого исключения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QC-05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Доля соцвзносов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Проверка выбросов относительно ожидаемого диапазона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WARNING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ТРЕБУЕТ РЕШЕНИЯ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использовать пример 18,5–21% как жёсткий порог без методологии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QC-06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Деление на ноль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Budget=0 или denominator=0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Δ% / Ratio = «–»</w:t>
            </w:r>
          </w:p>
        </w:tc>
      </w:tr>
    </w:tbl>
    <w:p>
      <w:pPr>
        <w:spacing w:after="20"/>
      </w:pPr>
    </w:p>
    <w:p>
      <w:pPr>
        <w:pStyle w:val="Heading1"/>
      </w:pPr>
      <w:r>
        <w:t>12. Definition of Done для разработки формы</w:t>
      </w:r>
    </w:p>
    <w:p>
      <w:pPr>
        <w:pStyle w:val="ListBullet"/>
        <w:spacing w:after="40"/>
      </w:pPr>
      <w:r>
        <w:t>Все параметры формы реализованы и однозначно связаны с атрибутами модели данных.</w:t>
      </w:r>
    </w:p>
    <w:p>
      <w:pPr>
        <w:pStyle w:val="ListBullet"/>
        <w:spacing w:after="40"/>
      </w:pPr>
      <w:r>
        <w:t>Для каждой SOURCE-строки заполнен и согласован Source Mapping.</w:t>
      </w:r>
    </w:p>
    <w:p>
      <w:pPr>
        <w:pStyle w:val="ListBullet"/>
        <w:spacing w:after="40"/>
      </w:pPr>
      <w:r>
        <w:t>Все CALCULATED-строки воспроизводят утверждённые бизнес-формулы.</w:t>
      </w:r>
    </w:p>
    <w:p>
      <w:pPr>
        <w:pStyle w:val="ListBullet"/>
        <w:spacing w:after="40"/>
      </w:pPr>
      <w:r>
        <w:t>MTD/YTD/FY корректно работают для SUM, CLOSING, AVERAGE и RATIO.</w:t>
      </w:r>
    </w:p>
    <w:p>
      <w:pPr>
        <w:pStyle w:val="ListBullet"/>
        <w:spacing w:after="40"/>
      </w:pPr>
      <w:r>
        <w:t>ДРП и ФД формируются по согласованным правилам и имеют сопоставимый grain.</w:t>
      </w:r>
    </w:p>
    <w:p>
      <w:pPr>
        <w:pStyle w:val="ListBullet"/>
        <w:spacing w:after="40"/>
      </w:pPr>
      <w:r>
        <w:t>Δ Fact vs Budget и Δ ДРП/ФД соответствуют утверждённой sign convention.</w:t>
      </w:r>
    </w:p>
    <w:p>
      <w:pPr>
        <w:pStyle w:val="ListBullet"/>
        <w:spacing w:after="40"/>
      </w:pPr>
      <w:r>
        <w:t>Golden Sample из приложенного Excel воспроизводится в пределах согласованного tolerance.</w:t>
      </w:r>
    </w:p>
    <w:p>
      <w:pPr>
        <w:pStyle w:val="ListBullet"/>
        <w:spacing w:after="40"/>
      </w:pPr>
      <w:r>
        <w:t>QC-контроли выполняются; unmapped-данные не теряются молча.</w:t>
      </w:r>
    </w:p>
    <w:p>
      <w:pPr>
        <w:pStyle w:val="ListBullet"/>
        <w:spacing w:after="40"/>
      </w:pPr>
      <w:r>
        <w:t>Формат чисел, нулей и процентов соответствует макету.</w:t>
      </w:r>
    </w:p>
    <w:p>
      <w:pPr>
        <w:pStyle w:val="ListBullet"/>
        <w:spacing w:after="40"/>
      </w:pPr>
      <w:r>
        <w:t>Открытые вопросы, влияющие на расчёт, закрыты либо явно исключены из scope релиза.</w:t>
      </w:r>
    </w:p>
    <w:p>
      <w:pPr>
        <w:pStyle w:val="Heading1"/>
      </w:pPr>
      <w:r>
        <w:t>13. Открытые вопросы / решения до передачи в разработку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c>
          <w:tcPr>
            <w:tcW w:type="dxa" w:w="113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5669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Вопрос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Владелец решения / участники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Почему важно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Какой точный расчётный grain ДРП и ФД до агрегации формы?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BA/SA + Tech Lead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маппинг и сверку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Какие коды/меры являются Actual Version и Comparison Version? Можно ли выбирать Forecast?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Владелец формы + BA/SA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Version Logic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Каким системным атрибутом разделяются ДРП и ФД?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BA/SA + Tech Lead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формирование двух блоков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Q-04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Каков точный mapping каждой SOURCE-строки на Article/Measure?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BA/SA + методолог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разработку leaf-строк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 обрабатываются unmapped-статьи?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Владелец формы + Tech Lead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Риск потери данных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Q-06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Remaining Budget: FY Budget − YTD Fact или сохранить YTD Fact − FY Budget с переименованием?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Владелец формы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Влияет на UI и формулы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Q-07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Подтвердить знак сторно в источнике и правила отрицательных корректировок.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Finance/BA + Tech Lead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roll-up премий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Q-08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Закрытый перечень строк Numerator/Denominator для % соцвзносов.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Методолог соцвзносов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KPI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Q-09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Точная логика HC Closing, MSU Closing и ССЧ.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HR методолог + BA/SA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Блокирует KPI численности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Q-10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Где живут FIX / ФОТ до бонуса / Годовой бонус / Total C&amp;B: cube/semantic или report layer?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 Lead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Архитектурное решение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Q-11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 работает капитализация incl./excl. в ДРП и ФД?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Finance + владелец формы + BA/SA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Уже открыто в v1.0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Q-12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Какой tolerance и регламент разбора Δ ДРП/ФД?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Владелец формы + Finance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Уже открыто в v1.0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Q-13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Подтвердить логику квартальной премии: выплата бюджетируется, резерв — нет; reserve/reverse/cash.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Владелец формы + HR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Уже открыто в v1.0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Q-14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Нужен ли drill-down до MIR × Article × Month × Version для анализа расхождений?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Владелец формы + пользователи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Определяет UX и технический объём</w:t>
            </w:r>
          </w:p>
        </w:tc>
      </w:tr>
    </w:tbl>
    <w:p>
      <w:pPr>
        <w:spacing w:after="20"/>
      </w:pPr>
    </w:p>
    <w:p>
      <w:pPr>
        <w:pStyle w:val="Heading1"/>
      </w:pPr>
      <w:r>
        <w:t>14. Роли при согласовании и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56"/>
        <w:gridCol w:w="6956"/>
      </w:tblGrid>
      <w:tr>
        <w:tc>
          <w:tcPr>
            <w:tcW w:type="dxa" w:w="340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850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Ответственность по этой форме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Методолог / владелец формы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Бизнес-смысл строк, иерархия, формулы, временная логика, sign convention, ожидаемый результат и Golden Sample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BA/SA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Маппинг на модель данных, grain, атрибуты, версии, фильтры, системные правила и трассировка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 Lead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Архитектурная реализуемость, слой расчёта, переиспользование метрик, технические ограничения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Developer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Техническая реализация без самостоятельного изменения бизнес-методологии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Tester / Methodologist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Проверка Golden Sample, acceptance criteria и edge cases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Finance / HR domain owner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Mandatory approval для правил, затрагивающих соответствующий домен</w:t>
            </w:r>
          </w:p>
        </w:tc>
      </w:tr>
    </w:tbl>
    <w:p>
      <w:pPr>
        <w:spacing w:after="20"/>
      </w:pPr>
    </w:p>
    <w:p>
      <w:pPr>
        <w:pStyle w:val="Heading1"/>
      </w:pPr>
      <w:r>
        <w:t>15. История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c>
          <w:tcPr>
            <w:tcW w:type="dxa" w:w="113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7937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Изменение</w:t>
            </w:r>
          </w:p>
        </w:tc>
        <w:tc>
          <w:tcPr>
            <w:tcW w:type="dxa" w:w="2835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Under-/overaccruals убраны из бюджета HR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Under-/overaccruals вынесены в отдельный блок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соцвзносов считается только на факт выплат (без резервов бонусов)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Добавлен показатель MSU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Добавлен показатель ССЧ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Поменяны местами Факт и Бюджет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Дельта переопределена как «Факт к Бюджету»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Внедрено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Добавлены Data Mapping, Grain, Version Logic, Sign Convention, Calculation Layer и исполнимые QC-контроли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Проект v1.1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Открытые технические и методологические пробелы выделены как решения, а не заполнены предположениями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Проект v1.1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Form 1 — Компенсационные расходы (ФОТ) | Functional Design v1.1</w:t>
    </w:r>
    <w:r>
      <w:rPr>
        <w:color w:val="787878"/>
        <w:sz w:val="16"/>
      </w:rPr>
      <w:t>Form 1 — Компенсационные расходы (ФОТ) | Functional Design v1.1</w:t>
    </w:r>
    <w:r>
      <w:rPr>
        <w:color w:val="787878"/>
        <w:sz w:val="16"/>
      </w:rPr>
      <w:t>Form 1 — Компенсационные расходы (ФОТ) | Functional Design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</w:pPr>
    <w:rPr>
      <w:rFonts w:ascii="Aptos" w:hAnsi="Aptos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