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3bfa6a8852a04fc3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0"/>
      </w:pPr>
      <w:r>
        <w:drawing>
          <wp:anchor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10"/>
            <wp:effectExtent l="0" t="0" r="0" b="0"/>
            <wp:wrapNone/>
            <wp:docPr id="101" name="BG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bg101.png"/>
                    <pic:cNvPicPr/>
                  </pic:nvPicPr>
                  <pic:blipFill>
                    <a:blip r:embed="R4d1b08a2fd5b4a0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14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240" w:line="276" w:lineRule="auto"/>
      </w:pPr>
      <w:r>
        <w:rPr>
          <w:rFonts w:ascii="Calibri" w:hAnsi="Calibri" w:cs="Calibri"/>
          <w:b/>
          <w:color w:val="B08D3E"/>
          <w:sz w:val="22"/>
        </w:rPr>
        <w:t xml:space="preserve">МЕТОДОЛОГИЯ · РАБОЧИЙ ДОКУМЕНТ</w:t>
      </w:r>
    </w:p>
    <w:p>
      <w:pPr>
        <w:spacing w:before="0" w:after="120" w:line="276" w:lineRule="auto"/>
      </w:pPr>
      <w:r>
        <w:rPr>
          <w:rFonts w:ascii="Calibri" w:hAnsi="Calibri" w:cs="Calibri"/>
          <w:b/>
          <w:color w:val="123B2F"/>
          <w:sz w:val="60"/>
        </w:rPr>
        <w:t xml:space="preserve">Факторный анализ затрат на персонал</w:t>
      </w:r>
    </w:p>
    <w:p>
      <w:pPr>
        <w:spacing w:before="0" w:after="480" w:line="276" w:lineRule="auto"/>
      </w:pPr>
      <w:r>
        <w:rPr>
          <w:rFonts w:ascii="Calibri" w:hAnsi="Calibri" w:cs="Calibri"/>
          <w:color w:val="6E685B"/>
          <w:sz w:val="26"/>
        </w:rPr>
        <w:t xml:space="preserve">Три сценария сравнения · оконная логика факторов · «сторно/реализация»</w:t>
      </w:r>
    </w:p>
    <w:p>
      <w:pPr>
        <w:spacing w:before="0" w:after="900" w:line="276" w:lineRule="auto"/>
      </w:pPr>
      <w:r>
        <w:rPr>
          <w:rFonts w:ascii="Calibri" w:hAnsi="Calibri" w:cs="Calibri"/>
          <w:color w:val="33302A"/>
          <w:sz w:val="23"/>
        </w:rPr>
        <w:t xml:space="preserve">Факторы первой волны F01–F11: идентификация событий, окна действия, ограничения, альтернативы и сквозные числовые примеры</w:t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33302A"/>
          <w:sz w:val="22"/>
        </w:rPr>
        <w:t xml:space="preserve">Проект «Бюджетная система по затратам на персонал»</w:t>
      </w:r>
    </w:p>
    <w:p>
      <w:pPr>
        <w:spacing w:before="0" w:after="0" w:line="276" w:lineRule="auto"/>
      </w:pPr>
      <w:r>
        <w:rPr>
          <w:rFonts w:ascii="Calibri" w:hAnsi="Calibri" w:cs="Calibri"/>
          <w:color w:val="6E685B"/>
          <w:sz w:val="20"/>
        </w:rPr>
        <w:t xml:space="preserve">Версия 2.0 · август 2026 · на согласовании у Reward / Finance</w:t>
      </w:r>
    </w:p>
    <w:p>
      <w:pPr>
        <w:sectPr>
          <w:headerReference w:type="default" r:id="R5a6057f3f096469c"/>
          <w:footerReference w:type="default" r:id="Rcfbaeb4a79cd4efd"/>
          <w:pgSz w:w="11906" w:h="16838"/>
          <w:pgMar w:top="1134" w:right="1134" w:bottom="1134" w:left="1134" w:header="567" w:footer="567"/>
          <w:titlePg/>
        </w:sectPr>
      </w:pPr>
    </w:p>
    <w:p>
      <w:pPr>
        <w:spacing w:before="0" w:after="240" w:line="276" w:lineRule="auto"/>
      </w:pPr>
      <w:r>
        <w:rPr>
          <w:rFonts w:ascii="Calibri" w:hAnsi="Calibri" w:cs="Calibri"/>
          <w:b/>
          <w:color w:val="123B2F"/>
          <w:sz w:val="34"/>
        </w:rPr>
        <w:t xml:space="preserve">Содержание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1. </w:t>
      </w:r>
      <w:r>
        <w:rPr>
          <w:rFonts w:ascii="Calibri" w:hAnsi="Calibri" w:cs="Calibri"/>
          <w:color w:val="33302A"/>
          <w:sz w:val="21"/>
        </w:rPr>
        <w:t xml:space="preserve">О документе</w:t>
      </w:r>
      <w:r>
        <w:tab/>
      </w:r>
      <w:r>
        <w:rPr>
          <w:rFonts w:ascii="Calibri" w:hAnsi="Calibri" w:cs="Calibri"/>
          <w:color w:val="6E685B"/>
          <w:sz w:val="21"/>
        </w:rPr>
        <w:t xml:space="preserve">3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2. </w:t>
      </w:r>
      <w:r>
        <w:rPr>
          <w:rFonts w:ascii="Calibri" w:hAnsi="Calibri" w:cs="Calibri"/>
          <w:color w:val="33302A"/>
          <w:sz w:val="21"/>
        </w:rPr>
        <w:t xml:space="preserve">Три сценария сравнения</w:t>
      </w:r>
      <w:r>
        <w:tab/>
      </w:r>
      <w:r>
        <w:rPr>
          <w:rFonts w:ascii="Calibri" w:hAnsi="Calibri" w:cs="Calibri"/>
          <w:color w:val="6E685B"/>
          <w:sz w:val="21"/>
        </w:rPr>
        <w:t xml:space="preserve">5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3. </w:t>
      </w:r>
      <w:r>
        <w:rPr>
          <w:rFonts w:ascii="Calibri" w:hAnsi="Calibri" w:cs="Calibri"/>
          <w:color w:val="33302A"/>
          <w:sz w:val="21"/>
        </w:rPr>
        <w:t xml:space="preserve">Данные и базовые понятия</w:t>
      </w:r>
      <w:r>
        <w:tab/>
      </w:r>
      <w:r>
        <w:rPr>
          <w:rFonts w:ascii="Calibri" w:hAnsi="Calibri" w:cs="Calibri"/>
          <w:color w:val="6E685B"/>
          <w:sz w:val="21"/>
        </w:rPr>
        <w:t xml:space="preserve">6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4. </w:t>
      </w:r>
      <w:r>
        <w:rPr>
          <w:rFonts w:ascii="Calibri" w:hAnsi="Calibri" w:cs="Calibri"/>
          <w:color w:val="33302A"/>
          <w:sz w:val="21"/>
        </w:rPr>
        <w:t xml:space="preserve">Идентификация событий</w:t>
      </w:r>
      <w:r>
        <w:tab/>
      </w:r>
      <w:r>
        <w:rPr>
          <w:rFonts w:ascii="Calibri" w:hAnsi="Calibri" w:cs="Calibri"/>
          <w:color w:val="6E685B"/>
          <w:sz w:val="21"/>
        </w:rPr>
        <w:t xml:space="preserve">8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5. </w:t>
      </w:r>
      <w:r>
        <w:rPr>
          <w:rFonts w:ascii="Calibri" w:hAnsi="Calibri" w:cs="Calibri"/>
          <w:color w:val="33302A"/>
          <w:sz w:val="21"/>
        </w:rPr>
        <w:t xml:space="preserve">Оконная логика: «сумма с месяца события» и reverse YTD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10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6. </w:t>
      </w:r>
      <w:r>
        <w:rPr>
          <w:rFonts w:ascii="Calibri" w:hAnsi="Calibri" w:cs="Calibri"/>
          <w:color w:val="33302A"/>
          <w:sz w:val="21"/>
        </w:rPr>
        <w:t xml:space="preserve">Сценарий «Бюджет vs Форкаст»: сторно/реализация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11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7. </w:t>
      </w:r>
      <w:r>
        <w:rPr>
          <w:rFonts w:ascii="Calibri" w:hAnsi="Calibri" w:cs="Calibri"/>
          <w:color w:val="33302A"/>
          <w:sz w:val="21"/>
        </w:rPr>
        <w:t xml:space="preserve">Статьи затрат за пределами оклада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13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8. </w:t>
      </w:r>
      <w:r>
        <w:rPr>
          <w:rFonts w:ascii="Calibri" w:hAnsi="Calibri" w:cs="Calibri"/>
          <w:color w:val="33302A"/>
          <w:sz w:val="21"/>
        </w:rPr>
        <w:t xml:space="preserve">Карта факторов v2.0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14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9. </w:t>
      </w:r>
      <w:r>
        <w:rPr>
          <w:rFonts w:ascii="Calibri" w:hAnsi="Calibri" w:cs="Calibri"/>
          <w:color w:val="33302A"/>
          <w:sz w:val="21"/>
        </w:rPr>
        <w:t xml:space="preserve">F01 · Наймы текущего года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15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10. </w:t>
      </w:r>
      <w:r>
        <w:rPr>
          <w:rFonts w:ascii="Calibri" w:hAnsi="Calibri" w:cs="Calibri"/>
          <w:color w:val="33302A"/>
          <w:sz w:val="21"/>
        </w:rPr>
        <w:t xml:space="preserve">F02 · Увольнения текущего года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16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11. </w:t>
      </w:r>
      <w:r>
        <w:rPr>
          <w:rFonts w:ascii="Calibri" w:hAnsi="Calibri" w:cs="Calibri"/>
          <w:color w:val="33302A"/>
          <w:sz w:val="21"/>
        </w:rPr>
        <w:t xml:space="preserve">F03 · Наймы прошлого года (эффект полного года)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17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12. </w:t>
      </w:r>
      <w:r>
        <w:rPr>
          <w:rFonts w:ascii="Calibri" w:hAnsi="Calibri" w:cs="Calibri"/>
          <w:color w:val="33302A"/>
          <w:sz w:val="21"/>
        </w:rPr>
        <w:t xml:space="preserve">F04 · Увольнения прошлого года (эффект полного года)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18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13. </w:t>
      </w:r>
      <w:r>
        <w:rPr>
          <w:rFonts w:ascii="Calibri" w:hAnsi="Calibri" w:cs="Calibri"/>
          <w:color w:val="33302A"/>
          <w:sz w:val="21"/>
        </w:rPr>
        <w:t xml:space="preserve">F05 · Вакансии</w:t>
      </w:r>
      <w:r>
        <w:tab/>
      </w:r>
      <w:r>
        <w:rPr>
          <w:rFonts w:ascii="Calibri" w:hAnsi="Calibri" w:cs="Calibri"/>
          <w:color w:val="6E685B"/>
          <w:sz w:val="21"/>
        </w:rPr>
        <w:t xml:space="preserve">19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14. </w:t>
      </w:r>
      <w:r>
        <w:rPr>
          <w:rFonts w:ascii="Calibri" w:hAnsi="Calibri" w:cs="Calibri"/>
          <w:color w:val="33302A"/>
          <w:sz w:val="21"/>
        </w:rPr>
        <w:t xml:space="preserve">F06 · Трансферы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20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15. </w:t>
      </w:r>
      <w:r>
        <w:rPr>
          <w:rFonts w:ascii="Calibri" w:hAnsi="Calibri" w:cs="Calibri"/>
          <w:color w:val="33302A"/>
          <w:sz w:val="21"/>
        </w:rPr>
        <w:t xml:space="preserve">F07 · Пересмотр оклада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21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16. </w:t>
      </w:r>
      <w:r>
        <w:rPr>
          <w:rFonts w:ascii="Calibri" w:hAnsi="Calibri" w:cs="Calibri"/>
          <w:color w:val="33302A"/>
          <w:sz w:val="21"/>
        </w:rPr>
        <w:t xml:space="preserve">F08 · Отпускные и резерв отпусков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22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17. </w:t>
      </w:r>
      <w:r>
        <w:rPr>
          <w:rFonts w:ascii="Calibri" w:hAnsi="Calibri" w:cs="Calibri"/>
          <w:color w:val="33302A"/>
          <w:sz w:val="21"/>
        </w:rPr>
        <w:t xml:space="preserve">F09–F10 · Резервы годовой премии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23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18. </w:t>
      </w:r>
      <w:r>
        <w:rPr>
          <w:rFonts w:ascii="Calibri" w:hAnsi="Calibri" w:cs="Calibri"/>
          <w:color w:val="33302A"/>
          <w:sz w:val="21"/>
        </w:rPr>
        <w:t xml:space="preserve">F11 · Прочее: длительные отсутствия, стажёры, остаток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24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19. </w:t>
      </w:r>
      <w:r>
        <w:rPr>
          <w:rFonts w:ascii="Calibri" w:hAnsi="Calibri" w:cs="Calibri"/>
          <w:color w:val="33302A"/>
          <w:sz w:val="21"/>
        </w:rPr>
        <w:t xml:space="preserve">Сквозные числовые примеры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25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20. </w:t>
      </w:r>
      <w:r>
        <w:rPr>
          <w:rFonts w:ascii="Calibri" w:hAnsi="Calibri" w:cs="Calibri"/>
          <w:color w:val="33302A"/>
          <w:sz w:val="21"/>
        </w:rPr>
        <w:t xml:space="preserve">Контроль качества и сходимость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27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21. </w:t>
      </w:r>
      <w:r>
        <w:rPr>
          <w:rFonts w:ascii="Calibri" w:hAnsi="Calibri" w:cs="Calibri"/>
          <w:color w:val="33302A"/>
          <w:sz w:val="21"/>
        </w:rPr>
        <w:t xml:space="preserve">Открытые вопросы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28</w:t>
      </w:r>
    </w:p>
    <w:p>
      <w:pPr>
        <w:tabs>
          <w:tab w:val="right" w:leader="dot" w:pos="9500"/>
        </w:tabs>
        <w:spacing w:before="0" w:after="72"/>
      </w:pPr>
      <w:r>
        <w:rPr>
          <w:rFonts w:ascii="Calibri" w:hAnsi="Calibri" w:cs="Calibri"/>
          <w:b/>
          <w:color w:val="B08D3E"/>
          <w:sz w:val="21"/>
        </w:rPr>
        <w:t xml:space="preserve">22. </w:t>
      </w:r>
      <w:r>
        <w:rPr>
          <w:rFonts w:ascii="Calibri" w:hAnsi="Calibri" w:cs="Calibri"/>
          <w:color w:val="33302A"/>
          <w:sz w:val="21"/>
        </w:rPr>
        <w:t xml:space="preserve">Глоссарий</w:t>
      </w:r>
      <w:r>
        <w:tab/>
      </w:r>
      <w:r>
        <w:rPr>
          <w:rFonts w:ascii="Calibri" w:hAnsi="Calibri" w:cs="Calibri"/>
          <w:color w:val="6E685B"/>
          <w:sz w:val="21"/>
        </w:rPr>
        <w:t xml:space="preserve">29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 · О документе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Документ описывает методологию факторного анализа затрат на персонал: как отклонение между двумя версиями данных раскладывается на понятные бизнес-причины — факторы F01–F11. Версия 2.0 переработана по итогам трёх рабочих встреч проектной команды (27.08.2026) и фиксирует единые правила идентификации событий, оконную логику расчёта эффектов и специальную механику сравнения «бюджет против форкаста».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Для каждого фактора приведено пять блоков: что он показывает, как считается в каждом из трёх сценариев сравнения, из каких данных складывается, какие ограничения есть у расчёта и какие альтернативы рассматривались.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1.1. Что изменилось в версии 2.0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Формализованы три сценария сравнения: «год к году» (приоритетный), «бюджет vs форкаст» внутри года и «месяц к месяцу» (виртуальный). Ядро идентификации событий у них единое, различаются базы сравнения и представление факторов.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Идентификация событий переведена на критерий наличия записи Person ID в месячном срезе — вместо анализа сумм выплат (исключает ложные срабатывания от бонусов и отпускных).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Введена оконная логика эффектов: факторы текущего года считаются «с месяца события до конца года», факторы прошлого года — по правилу reverse YTD (действуют только в месяцах, которых не было в прошлом году).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Для сценария «бюджет vs форкаст» принята логика «сторно/реализация»: бюджетные факторы откатываются со знаком минус, форкастные добавляются; на верхнем уровне показывается агрегат с возможностью drill-down.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Фактор пересмотра оклада в сравнении версий раскладывается на два компонента: сторно бюджетного повышения и реализацию форкастного.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Вакансии детализированы до четырёх подфакторов: открытие/закрытие × прошлый/текущий год (F05_1–F05_4).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Добавлены факторы перевода стажёров в штат (F11_10/F11_11) — временно в группе «Прочее», с возможной реклассификацией в демографию.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Зафиксированы правила приоритизации одновременных событий и конвенция месяца события.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Зафиксированы допущения: расчёт факторов по номиналу оклада из HR-5; статьи FIX за пределами оклада — «статья к статье» до появления поимённого факта 1С; известная погрешность по дочерним организациям (декрет неотличим от найма/увольнения).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Добавлены сквозные числовые примеры с контрольной сходимостью факторов (раздел 19 и Excel-приложение).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1.2. Источники методологии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Рабочий справочник «Факторы первой волны v4»</w:t>
      </w:r>
      <w:r>
        <w:rPr>
          <w:rFonts w:ascii="Calibri" w:hAnsi="Calibri" w:cs="Calibri"/>
          <w:color w:val="33302A"/>
          <w:sz w:val="21"/>
        </w:rPr>
        <w:t xml:space="preserve"> — карта факторов с иерархией, алгоритм расчёта, структура лога MG_COMPENSATION_Log и справочника Dim_Factor.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Встреча «Факторный анализ HR» (27.08.2026)</w:t>
      </w:r>
      <w:r>
        <w:rPr>
          <w:rFonts w:ascii="Calibri" w:hAnsi="Calibri" w:cs="Calibri"/>
          <w:color w:val="33302A"/>
          <w:sz w:val="21"/>
        </w:rPr>
        <w:t xml:space="preserve"> — три сценария сравнения, критерий Person ID, две методологии точности (HR-5 и дочерние организации), гранулярность трансферов без Assignment ID.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Встреча «Методология демографических факторов» (27.08.2026)</w:t>
      </w:r>
      <w:r>
        <w:rPr>
          <w:rFonts w:ascii="Calibri" w:hAnsi="Calibri" w:cs="Calibri"/>
          <w:color w:val="33302A"/>
          <w:sz w:val="21"/>
        </w:rPr>
        <w:t xml:space="preserve"> — приоритизация событий, оконная логика, номинал вместо поимёнки, смешанный факт+прогноз, реестр статей FIX.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Встреча «Развитие модели факторного анализа» (27.08.2026)</w:t>
      </w:r>
      <w:r>
        <w:rPr>
          <w:rFonts w:ascii="Calibri" w:hAnsi="Calibri" w:cs="Calibri"/>
          <w:color w:val="33302A"/>
          <w:sz w:val="21"/>
        </w:rPr>
        <w:t xml:space="preserve"> — reverse YTD, сторно/реализация, декомпозиция пересмотра окладов, вакансии open/close, перевод стажёров, соцвзносы по усреднённым ставкам.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Уточнения владельца методологии</w:t>
      </w:r>
      <w:r>
        <w:rPr>
          <w:rFonts w:ascii="Calibri" w:hAnsi="Calibri" w:cs="Calibri"/>
          <w:color w:val="33302A"/>
          <w:sz w:val="21"/>
        </w:rPr>
        <w:t xml:space="preserve"> — конвенция месяца события, повторные приёмы без неттирования, правило сторно вакансий в форкасте.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1.3. Статус и применение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Статус: версия 2.0, согласуется с Reward и Finance. Документ — единый источник истины по правилам расчёта: при расхождении интерпретаций приоритет имеет настоящая методология. Изменения методологии оформляются через Decision Log проекта и новую версию документа.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600"/>
        <w:gridCol w:w="900"/>
        <w:gridCol w:w="35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Версия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Дата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Содержание изменений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0.9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август 2026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Первая полная версия по справочнику «Факторы первой волны v4»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2.0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август 2026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Переработка по итогам встреч 27.08: три сценария, оконная логика, сторно/реализация, новые факторы, примеры</w:t>
            </w:r>
          </w:p>
        </w:tc>
      </w:tr>
    </w:tbl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2 · Три сценария сравнения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Факторный анализ всегда сравнивает пару версий. Поддерживаются три сценария; у них общее ядро — идентификация кадровых событий по Person ID, — но различаются база сравнения и правила представления факторов.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000"/>
        <w:gridCol w:w="1000"/>
        <w:gridCol w:w="1400"/>
        <w:gridCol w:w="16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База (CV)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Анализируемая версия (SV)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Статус и специфика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 (TY vs PY)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Факт прошлого года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Прогноз текущего года (факт закрытых месяцев + прогноз оставшихся)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Приоритетный. Факторы прошлого года считаются по reverse YTD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текущего года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Форкаст текущего года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Основной внутри года. Логика «сторно/реализация», агрегаты с drill-down (раздел 6)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m−1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m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Виртуальный, для точечных запросов. Частный случай: те же правила событий, окно — один месяц</w:t>
            </w:r>
          </w:p>
        </w:tc>
      </w:tr>
    </w:tbl>
    <w:p>
      <w:pPr>
        <w:spacing w:before="0" w:after="6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Сравнение «месяц к месяцу» не является самостоятельной методологией: эффект полного года складывается из месяцев, и анализ смежных месяцев использует те же правила, меняется только база. Поэтому все правила документа описаны для годовых сценариев, а помесячный разбор следует из них автоматически.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Правило нейминга: в сценарии «год к году» факторы маркируются годом события (CY — текущий, PY — прошлый). В сценарии «бюджет vs форкаст» те же события маркируются версией: «бюджет» (сторно) и «форкаст» (реализация). Пользовательские названия факторов на верхнем уровне отчётности не содержат технических терминов.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3 · Данные и базовые понятия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3.1. Пара версий и контрольная сумма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SV (Selected Version) — анализируемая версия, CV (Compared Version) — база сравнения. Базовое отклонение считается на минимальном срезе и является контрольной суммой: сумма всех факторов обязана точно сойтись с ним — и за год, и помесячно.</w:t>
      </w:r>
    </w:p>
    <w:tbl>
      <w:tblPr>
        <w:tblW w:w="5000" w:type="pct"/>
        <w:tblBorders>
          <w:top w:val="single" w:color="DCD5C3" w:sz="4"/>
          <w:left w:val="single" w:color="B08D3E" w:sz="18"/>
          <w:bottom w:val="single" w:color="DCD5C3" w:sz="4"/>
          <w:right w:val="single" w:color="DCD5C3" w:sz="4"/>
        </w:tblBorders>
        <w:tblLook w:val="04A0"/>
      </w:tblPr>
      <w:tblGrid>
        <w:gridCol w:w="9000"/>
      </w:tblGrid>
      <w:tr>
        <w:trPr>
          <w:cantSplit/>
        </w:trPr>
        <w:tc>
          <w:tcPr>
            <w:shd w:val="clear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SVvsCV = Value(SV) − Value(CV)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по срезу: Month × Legal × GU × MIR × Component (× Person для person-level)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Контроль: Σ(все факторы) − SVvsCV = 0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3.2. FIX и VARIABLE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700"/>
        <w:gridCol w:w="1200"/>
        <w:gridCol w:w="1700"/>
        <w:gridCol w:w="14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Часть затрат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Русское название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Что входит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Ключевые данные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FIX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ФОТ до бонуса (фиксированная часть)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Оклады и постоянные выплаты до годовой премии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Salary, MSU, даты назначения; суммы по Component из MG_COMPENSATION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Годовая премия (бонусная часть)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Премиальная часть: eligibility, процент, месяц выплаты/резервирования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Annual_Bonus_Percent, Bonus_Scheme_Type, календарь</w:t>
            </w:r>
          </w:p>
        </w:tc>
      </w:tr>
    </w:tbl>
    <w:p>
      <w:pPr>
        <w:spacing w:before="0" w:after="6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Каждый демографический фактор считается раздельно для FIX и VARIABLE и пишется в лог отдельными строками с признаком Cost_Part. Сотрудник без права на премию (non bonus eligible) создаёт только FIX-эффект. В текущей реализации событийная декомпозиция выполняется только для окладной части FIX (раздел 7).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3.3. Гранулярность: Person ID + атрибуты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События найма, увольнения и изменения оклада идентифицируются на уровне Person ID. Трансферы требуют более высокой гранулярности: сравнение идёт по комбинации Person ID + юрлицо (Legal Entity) + Global Unit + меркод (MIR) + статус. Assignment ID сознательно не используется: меркод может меняться в рамках одного Assignment, и сравнение по Assignment пропускало бы такие переводы. Под Global Unit понимается вся функциональная цепочка, а не только конечный департамент. Сотрудник, принятый на несколько юрлиц, представлен несколькими строками — по строке на комбинацию атрибутов.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3.4. Две методологии точности: HR-5 и дочерние организации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900"/>
        <w:gridCol w:w="1900"/>
        <w:gridCol w:w="22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Что видно в данных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Качество идентификации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HR-5 (HRPT)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 период декрета запись сохраняется с нулевым окладом и статусом Long-Term Leave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Точная: возврат из декрета отличим от найма (запись была), уход в декрет — от увольнения (статус меняется, запись остаётся)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Дочерние организации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Записи в период отсутствия выплат может не быть вовсе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Известная погрешность: возврат из декрета классифицируется как найм, уход в декрет — как увольнение. Принято как допущение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3.5. Номинал вместо поимённого факта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Поимённого финансового факта из 1С на текущий момент нет. Поэтому демографические факторы рассчитываются по номинальному установленному окладу из HR-5 («протягивается» на месяцы окна), а не по бухгалтерским начислениям конкретного человека. После появления поимённого факта методология переключается на фактические суммы без изменения логики событий — меняется только источник ставки.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3.6. Составной фактор: факт + прогноз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При анализе в середине года фактор текущего года составной: за закрытые месяцы берётся факт, за оставшиеся — прогноз по логике бюджетной системы (номинальные оклады и расчётные статьи FIX по утверждённой методологии). Эффект события «протягивается» до конца года по прогнозной логике. В отчётности обязателен явный флаг периодизации: какие месяцы фактические, какие прогнозные.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4 · Идентификация событий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4.1. Ключевой принцип: наличие записи, а не сумма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События определяются по наличию или отсутствию записи Person ID в месячном срезе, а не по сумме выплат. Это исключает ложные срабатывания: бонус или отпускные уволенному сотруднику не создают «фантомного» присутствия, а нулевой оклад в декрете не создаёт «фантомного» увольнения. Текущее допущение по проверяемой статье — Salary; перечень статей, учитываемых при идентификации, согласуется с владельцем данных (открытый вопрос №1).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4.2. Каталог событий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200"/>
        <w:gridCol w:w="2500"/>
        <w:gridCol w:w="13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Событие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Критерий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Месяц события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Hire (найм)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 ID присутствует в текущем месяце и отсутствовал в предыдущем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Первый месяц присутствия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Leaver (увольнение)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 ID отсутствует в текущем месяце и присутствовал в предыдущем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Первый месяц отсутствия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Salary increase (пересмотр оклада)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Номинальный оклад изменился месяц к месяцу; факторы hire/leaver в этом месяце не активны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изменения оклада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Transfer (перевод)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Изменился хотя бы один атрибут (юрлицо / Global Unit / меркод) при неизменном Person ID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изменения атрибута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LTL-out / LTL-in (длительное отсутствие)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Смена статуса Active ↔ Long-Term Leave; запись сохраняется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смены статуса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Vacancy open / close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Запись вакансии появилась / исчезла в источнике (бюджет/форкаст)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появления / исчезновения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4.3. Конвенция месяца события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Увольнение «в декабре»</w:t>
      </w:r>
      <w:r>
        <w:rPr>
          <w:rFonts w:ascii="Calibri" w:hAnsi="Calibri" w:cs="Calibri"/>
          <w:color w:val="33302A"/>
          <w:sz w:val="21"/>
        </w:rPr>
        <w:t xml:space="preserve"> означает: на конец декабря Person ID отсутствует в срезе. Декабрь — первый месяц без выплат, ноябрь — последний оплаченный.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Уход в декрет «в августе»</w:t>
      </w:r>
      <w:r>
        <w:rPr>
          <w:rFonts w:ascii="Calibri" w:hAnsi="Calibri" w:cs="Calibri"/>
          <w:color w:val="33302A"/>
          <w:sz w:val="21"/>
        </w:rPr>
        <w:t xml:space="preserve"> означает: в августе статус меняется Active → Long-Term Leave. Запись сохраняется, оклад с августа равен нулю.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Найм «в марте»</w:t>
      </w:r>
      <w:r>
        <w:rPr>
          <w:rFonts w:ascii="Calibri" w:hAnsi="Calibri" w:cs="Calibri"/>
          <w:color w:val="33302A"/>
          <w:sz w:val="21"/>
        </w:rPr>
        <w:t xml:space="preserve"> означает: март — первый месяц присутствия и первый оплаченный месяц.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Конвенция едина для всех сценариев и обязательна к применению при постановке данных: от неё зависят окна факторов и контрольные суммы. Дробные месяцы (приём/увольнение в середине месяца) в текущей версии не пропорционируются по дням — открытый вопрос №14.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4.4. Приоритизация одновременных событий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Статус важнее трансфера.</w:t>
      </w:r>
      <w:r>
        <w:rPr>
          <w:rFonts w:ascii="Calibri" w:hAnsi="Calibri" w:cs="Calibri"/>
          <w:color w:val="33302A"/>
          <w:sz w:val="21"/>
        </w:rPr>
        <w:t xml:space="preserve"> Если в одном месяце меняется статус и атрибуты, фиксируется только событие статуса.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Декрет + перевод.</w:t>
      </w:r>
      <w:r>
        <w:rPr>
          <w:rFonts w:ascii="Calibri" w:hAnsi="Calibri" w:cs="Calibri"/>
          <w:color w:val="33302A"/>
          <w:sz w:val="21"/>
        </w:rPr>
        <w:t xml:space="preserve"> Выход из декрета с одновременным переводом на другое юрлицо фиксируется как LTL-out в новом юрлице; трансфер не фиксируется.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Мульти-атрибутный трансфер = один трансфер.</w:t>
      </w:r>
      <w:r>
        <w:rPr>
          <w:rFonts w:ascii="Calibri" w:hAnsi="Calibri" w:cs="Calibri"/>
          <w:color w:val="33302A"/>
          <w:sz w:val="21"/>
        </w:rPr>
        <w:t xml:space="preserve"> Одновременная смена юрлица и Global Unit считается одним событием (детализация по атрибутам — открытый вопрос №7).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Найм/увольнение подавляют пересмотр оклада.</w:t>
      </w:r>
      <w:r>
        <w:rPr>
          <w:rFonts w:ascii="Calibri" w:hAnsi="Calibri" w:cs="Calibri"/>
          <w:color w:val="33302A"/>
          <w:sz w:val="21"/>
        </w:rPr>
        <w:t xml:space="preserve"> В месяце hire/leaver фактор salary increase не рассчитывается — вся дельта месяца относится к найму/увольнению. Повышение возможно со следующего месяца.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Однотипные события суммируются.</w:t>
      </w:r>
      <w:r>
        <w:rPr>
          <w:rFonts w:ascii="Calibri" w:hAnsi="Calibri" w:cs="Calibri"/>
          <w:color w:val="33302A"/>
          <w:sz w:val="21"/>
        </w:rPr>
        <w:t xml:space="preserve"> Два найма одного Person ID на разные юрлица дают две строки событий; эффекты суммируются.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4.5. Повторные приёмы и цепочки событий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Если сотрудник уволен и позже принят снова, система фиксирует оба события: Leaver в периоде увольнения и Hire в периоде повторного приёма. Один и тот же Person ID легитимно присутствует в нескольких факторах: например, как Leaver PY (в месяцах, где он был в прошлом году и отсутствует в текущем) и как Hire CY (с месяца повторного приёма до конца года). Факторы не неттируются — это сохраняет видимость реальных событий. Обязательное условие корректности: сумма всех факторов по сотруднику сходится с прямой дельтой версий (раздел 20).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Известная особенность: если оклад при повторном приёме отличается от оклада на момент увольнения, разница не выделяется отдельным фактором и «растворяется» в нетто-паре Hire CY / Leaver PY. Принято как ограничение первой волны (открытый вопрос №13).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5 · Оконная логика: «сумма с месяца события» и reverse YTD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Денежный эффект события считается через окно месяцев, в которых событие влияет на сравнение. Окно зависит от того, в каком году произошло событие.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5.1. Факторы текущего года (CY): окно «от события до конца года»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Событие текущего года влияет на годовое сравнение начиная с месяца события и до конца года: номинальный оклад «протягивается» на все месяцы окна. Годовой эффект — сумма помесячных значений окна.</w:t>
      </w:r>
    </w:p>
    <w:tbl>
      <w:tblPr>
        <w:tblW w:w="5000" w:type="pct"/>
        <w:tblBorders>
          <w:top w:val="single" w:color="DCD5C3" w:sz="4"/>
          <w:left w:val="single" w:color="B08D3E" w:sz="18"/>
          <w:bottom w:val="single" w:color="DCD5C3" w:sz="4"/>
          <w:right w:val="single" w:color="DCD5C3" w:sz="4"/>
        </w:tblBorders>
        <w:tblLook w:val="04A0"/>
      </w:tblPr>
      <w:tblGrid>
        <w:gridCol w:w="9000"/>
      </w:tblGrid>
      <w:tr>
        <w:trPr>
          <w:cantSplit/>
        </w:trPr>
        <w:tc>
          <w:tcPr>
            <w:shd w:val="clear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Эффект_CY = Ставка × (12 − МесяцСобытия + 1)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пример: найм в марте на оклад 100 → окно март–декабрь, эффект = 100 × 10 = 1 000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5.2. Факторы прошлого года (PY): reverse YTD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Событие прошлого года уже отразилось в базе сравнения — поэтому в текущем году его эффект присутствует только в тех месяцах, которых не было в прошлом году. Пример: сотрудник принят в апреле прошлого года — в базе PY он получил выплаты за апрель–декабрь; в текущем году эффект найма действует с января по март. Аналогично для повышения оклада прошлого года: его годовой эффект «дожимается» только до месяца повышения.</w:t>
      </w:r>
    </w:p>
    <w:tbl>
      <w:tblPr>
        <w:tblW w:w="5000" w:type="pct"/>
        <w:tblBorders>
          <w:top w:val="single" w:color="DCD5C3" w:sz="4"/>
          <w:left w:val="single" w:color="B08D3E" w:sz="18"/>
          <w:bottom w:val="single" w:color="DCD5C3" w:sz="4"/>
          <w:right w:val="single" w:color="DCD5C3" w:sz="4"/>
        </w:tblBorders>
        <w:tblLook w:val="04A0"/>
      </w:tblPr>
      <w:tblGrid>
        <w:gridCol w:w="9000"/>
      </w:tblGrid>
      <w:tr>
        <w:trPr>
          <w:cantSplit/>
        </w:trPr>
        <w:tc>
          <w:tcPr>
            <w:shd w:val="clear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Эффект_PY (reverse YTD) = Эффект за полный год − Часть, попавшая в PY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= Ставка × (МесяцСобытия_PY − 1)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пример: найм в апреле PY на 100 → окно январь–март CY, эффект = 100 × 3 = 300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5.3. Зеркальность окон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Окна CY и PY дополняют друг друга до полного года: для одного и того же события PY-окно покрывает месяцы до события, CY-окно — с месяца события. Поэтому при сравнении «год к году» событие любого года имеет корректное окно, а сумма факторов по сотруднику всегда сходится с прямой дельтой его выплат (контрольный пример — раздел 19).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5.4. Терминологическое правило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Термин «YTD» (year-to-date) в модели относится к строке «События» (накопление событий с начала года до месяца расчёта), а не к помесячным значениям факторов: в каждом месяце показывается отдельное месячное значение, которое затем суммируется в годовой эффект. В пользовательских материалах вместо «YTD» используется формулировка «сумма с начала года до месяца» / «с месяца события до конца года». В модели выделяется явная строка «События», отделённая от строк факторов.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6 · Сценарий «Бюджет vs Форкаст»: сторно/реализация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При сравнении версий внутри одного года событие могло быть заложено в бюджете, произойти в форкасте — или и то, и другое с разными параметрами. Чтобы факторный мост объяснял переход от суммы бюджета к сумме форкаста без двойного счёта, принята единая механика «сторно/реализация» («откат-накат»).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6.1. Общее правило</w:t>
      </w:r>
    </w:p>
    <w:tbl>
      <w:tblPr>
        <w:tblW w:w="5000" w:type="pct"/>
        <w:tblBorders>
          <w:top w:val="single" w:color="DCD5C3" w:sz="4"/>
          <w:left w:val="single" w:color="B08D3E" w:sz="18"/>
          <w:bottom w:val="single" w:color="DCD5C3" w:sz="4"/>
          <w:right w:val="single" w:color="DCD5C3" w:sz="4"/>
        </w:tblBorders>
        <w:tblLook w:val="04A0"/>
      </w:tblPr>
      <w:tblGrid>
        <w:gridCol w:w="9000"/>
      </w:tblGrid>
      <w:tr>
        <w:trPr>
          <w:cantSplit/>
        </w:trPr>
        <w:tc>
          <w:tcPr>
            <w:shd w:val="clear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Для каждого фактора: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  Бюджетная часть = СТОРНО запланированного события (знак минус, откат)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  Форкастная часть = РЕАЛИЗАЦИЯ события в форкасте (знак плюс, YTD)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  Фактор верхнего уровня = Сторно + Реализация</w:t>
            </w:r>
          </w:p>
        </w:tc>
      </w:tr>
    </w:tbl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Бюджетные факторы всегда рассчитываются как сторно, форкастные — всегда как реализация: правило единообразно для всех факторов (наймы, увольнения, пересмотр окладов, вакансии, трансферы). Это даёт предсказуемую систему знаков и позволяет собирать мост из одинаковых «кубиков».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6.2. Декомпозиция пересмотра окладов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Фактор пересмотра оклада раскладывается на два компонента с единой логикой: бюджетное повышение сторнируется, форкастное добавляется. Пример: в бюджете заложено повышение на 30, в форкасте реализовано на 70:</w:t>
      </w:r>
    </w:p>
    <w:tbl>
      <w:tblPr>
        <w:tblW w:w="5000" w:type="pct"/>
        <w:tblBorders>
          <w:top w:val="single" w:color="DCD5C3" w:sz="4"/>
          <w:left w:val="single" w:color="B08D3E" w:sz="18"/>
          <w:bottom w:val="single" w:color="DCD5C3" w:sz="4"/>
          <w:right w:val="single" w:color="DCD5C3" w:sz="4"/>
        </w:tblBorders>
        <w:tblLook w:val="04A0"/>
      </w:tblPr>
      <w:tblGrid>
        <w:gridCol w:w="9000"/>
      </w:tblGrid>
      <w:tr>
        <w:trPr>
          <w:cantSplit/>
        </w:trPr>
        <w:tc>
          <w:tcPr>
            <w:shd w:val="clear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Сторно бюджетного повышения:  −30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Реализация форкастного повышения: +70</w:t>
            </w:r>
          </w:p>
          <w:p>
            <w:pPr>
              <w:spacing w:before="0" w:after="40" w:line="240" w:lineRule="auto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Агрегированный фактор «Изменение окладов»: +40</w:t>
            </w:r>
          </w:p>
        </w:tc>
      </w:tr>
    </w:tbl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На верхнем уровне отчётности показывается агрегат (+40); через drill-down пользователь видит оба компонента. Если повышение в бюджете и форкасте совпадает по датам и размеру, компоненты гасят друг друга до нуля — и это корректно: отклонения нет. Если реализовано меньше запланированного, фактор отрицательный — см. 6.3.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Интерпретация: превышение форкаста над бюджетом трактуется как «незабюджетированное / сверхбюджетированное повышение»; недовыполнение — как «нереализованное запланированное повышение». Технический термин «сторно» в пользовательских отчётах заменяется бизнес-формулировками («отмена запланированного…», «фактический…»); нейминг финализируется при настройке отчётности (открытый вопрос №9).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6.3. Наймы и увольнения раздельно; отрицательные значения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Наймы и увольнения не схлопываются в единый «демографический» фактор: агрегаты «Наймы» и «Увольнения» показываются отдельно — иначе общая дельта скрывает разнонаправленные процессы (например, незапланированную текучку).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Отрицательные значения факторов допустимы и интерпретируются: «всем повысили, а фактор минус» означает «закладывали больше, чем реализовано». Подготовлен чек-лист интерпретации отрицательных эффектов для пояснения руководству.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Увольнения в бюджете обычно не планируются: форкастное увольнение чаще всего не имеет бюджетной пары и показывается как чистый фактор форкаста. Плановость конкретного увольнения недетерминирована — допущение зафиксировано.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6.4. Вакансии бюджета — это плановые наймы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Все вакансии бюджета трактуются как прогнозируемые наймы текущего года. Если в форкасте вакансия отсутствует, она сторнируется полностью — по всем месяцам, заложенным в бюджете. Если вакансия снимается частично (в форкасте остаётся открытой в будущих месяцах), сторнируются только месяцы, по которым она снята; по открытым месяцам отклонения нет и фактор не возникает. Конкретная трактовка зависит от месяца, на который построен форкаст: в месяцах, по которым уже есть факт, вакансия либо превратилась в найм, либо отсторнирована.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Допущение: связки Vacancy ID ↔ Person ID нет и не появится полностью даже после запуска HC Tracker (ограничение периметра). Поэтому нельзя утверждать, что конкретный найм «закрыл» конкретную вакансию: сторно вакансии и найм сотрудника показываются раздельно, а разница ставок и сроков видна только в нетто. Поле Replacement (Yes/No) в факторизации пока не используется (открытый вопрос №12).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6.5. Представление: агрегат + drill-down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Водопад верхнего уровня показывает агрегированные факторы с постоянным набором строк (требование стейкхолдеров). Каждый агрегат раскрывается до пары «сторно бюджета / реализация форкаста». Пример: бюджет 100 → сторно −30 → реализация +70 → форкаст 140; на верхнем уровне — один кубик «Изменение окладов +40». Тот же принцип для демографии: «Вакансии/наймы: −50 +20 = −30».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7 · Статьи затрат за пределами оклада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Событийная (поимённая) декомпозиция в первой волне выполняется только для окладной части FIX. Остальные статьи до появления поимённого факта 1С обрабатываются так: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900"/>
        <w:gridCol w:w="2200"/>
        <w:gridCol w:w="19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Статья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Текущая обработка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Целевое состояние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Оклады (Salary)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Демографические факторы по номиналу HR-5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поимённому факту 1С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Квартальные премии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Частично атрибутируются к демографическим факторам (соответствующий процент для наймов/увольнений)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Методика формализуется (открытый вопрос №10)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Соцвзносы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Модельно: усреднённые ставки из входных параметров бюджета; для наймов — повышенная ставка (~30%) до предельной базы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Новая модель соцвзносов (разработка Юры, ревью Лены, интеграция в бюджетную систему)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Бенефиты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Статья к статье → фактор «Прочее». Допущение о нематериальности влияния на демографию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поимённому факту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Отпускные (Vacation pay)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Статья к статье → фактор «Прочее» (F08)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поимённому факту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Бонусы (годовая премия)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Вне первой волны; методология Same Store адаптируется отдельно (hires/leavers/transfers, пороги полного бонуса)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Этап 2</w:t>
            </w:r>
          </w:p>
        </w:tc>
      </w:tr>
    </w:tbl>
    <w:p>
      <w:pPr>
        <w:spacing w:before="0" w:after="6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Риски модельного подхода к соцвзносам зафиксированы: усреднённые ставки не повторяют индивидуальные начисления; возможны контринтуитивные результаты (например, отрицательный эффект повышения); при сверке с фактом 1С отклонение будет смесью методической погрешности и реальных изменений. Для сравнения бюджета с фактом прошлого года недостающие соцвзносы реконструируются по ставкам прошлого года. После утверждения методология соцвзносов становится единой для бюджетной системы и HR-5 — это обеспечит сопоставимость номинала и факта.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8 · Карта факторов v2.0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650"/>
        <w:gridCol w:w="1850"/>
        <w:gridCol w:w="900"/>
        <w:gridCol w:w="1000"/>
        <w:gridCol w:w="6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Код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Фактор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Группа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Окно / логика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Метод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F01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Наймы текущего года (HIRE_CY)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CY: с месяца найма до конца года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F02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Увольнения текущего года (LEAVER_CY)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CY: с месяца увольнения до конца года (минус)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F03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Наймы прошлого года (HIRE_PY)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PY reverse YTD: январь – (месяц найма − 1)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F04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Увольнения прошлого года (LEAVER_PY)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PY reverse YTD: январь – (месяц увольнения − 1), минус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Вакансии (VACANCY): F05_1/F05_2 open/close ПГ, F05_3/F05_4 open/close ТГ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 / позиция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Появление/исчезновение записи; в бюджет-форкасте — сторно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Vacancy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F06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Трансферы (F06_1 in / F06_2 out)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Roll-up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Две строки: минус на старом срезе, плюс на новом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Two-row movement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F07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Пересмотр оклада (F07_1 ТГ / F07_2 ПГ)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Roll-up компенсационный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CY: с месяца повышения; PY: reverse YTD; только если hire/leaver не активны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F08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Отпускные и резерв отпусков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Статья к статье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Direct delta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F09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Восстановление резерва премии ПГ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Резерв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Только режим «с резервами»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Direct delta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Резерв текущего года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Резерв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Только режим «с резервами»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Direct delta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F11_1–F11_4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Длительные отсутствия (LTL start/end × ТГ/ПГ)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 / прочее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Как hire/leaver по окну; запись сохраняется, оклад = 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Новое юрлицо (NEW_LE)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Scope / периметр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Приоритет выше демографии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Direct delta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F11_6–F11_9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Выплаты органам управления, страхование, выходные пособия, OPEX/CAPEX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Статья к статье / структурные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Прямые дельты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Direct delta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F11_10/F11_11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Перевод стажёров в штат ПГ / ТГ (новое)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Прочее → возможно демография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Специфический трансфер со сменой eligibility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F11_99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Неразложенное отклонение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Балансирующий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Остаток после всех факторов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Residual</w:t>
            </w:r>
          </w:p>
        </w:tc>
      </w:tr>
    </w:tbl>
    <w:p>
      <w:pPr>
        <w:spacing w:before="0" w:after="6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Родительские коды F06, F07, F11 не пишутся в лог отдельными строками — собираются из дочерних через Dim_Factor. Приоритет классификации записей: NEW_LE → HIRE/LEAVER → VACANCY → TRANSFER → LTL → SALARY: каждая запись попадает строго в один фактор, двойной счёт исключён.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9 · F01 · Наймы текущего года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Наймы текущего года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HIRE_CY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 / да, если bonus eligible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Person_Id + Month + Legal/GU/MIR + Component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HRBP / Reward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Сотрудники, появившиеся в анализируемой версии, которых не было в базе сравнения, с датой найма в текущем году. Отвечает на вопрос: «сколько добавили затрат люди, которых раньше не было».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Окно от месяца найма до конца CY: Ставка × (13 − месяц). Ставка — номинальный оклад на момент найма. Повторный найм после увольнения — отдельное событие, зеркально к Leaver PY.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Форкастный найм — реализация (плюс, YTD). Найм, заложенный в бюджете вакансией, сторнируется через F05. Агрегат «Наймы» = сторно плановых + реализация фактических.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Эффект месяца найма = оклад месяца; далее найм не создаёт м/м-эффекта.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Популяция — A_ASSIGNMENT (Person_Id, Hire_Date, статус, MSU); ставка — установленный оклад HR-5 на момент приёма. Найм на несколько юрлиц — отдельная строка на каждую комбинацию атрибутов.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Ставка — номинал, а не фактические начисления; до поимённого факта 1С соцвзносы и прочие статьи не входят в фактор.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Связки с вакансией нет: найм не сопоставляется с конкретной вакансией.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Превышение оклада при повторном найме над окладом до увольнения не выделяется — растворяется в нетто-паре с Leaver PY.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Фиксация номинала: на дату приёма (текущая логика) vs помесячное обновление — открытый вопрос №6.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Пропорционирование неполного первого месяца по дням — открытый вопрос №14.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10 · F02 · Увольнения текущего года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Увольнения текущего года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LEAVER_CY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 / да, если премия снимается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Person_Id + Month + Legal/GU/MIR + Component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HRBP / Reward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Сотрудники, отсутствующие в анализируемой версии, хотя присутствовали в базе, с датой увольнения в текущем году. Эффект отрицательный: экономия от выбытия. Отвечает на вопрос: «сколько затрат убрали люди, которые ушли».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Окно от месяца увольнения (первый месяц отсутствия) до конца CY: −Ставка × (13 − месяц). Ставка — оклад на момент выбытия.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Увольнения в бюджете обычно не планируются → форкастный leaver показывается как чистый фактор форкаста (реализация, минус). Плановость конкретного увольнения недетерминирована.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Эффект = −оклад в первом месяце отсутствия; далее м/м-эффекта нет.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Популяция — A_ASSIGNMENT (даты увольнения, статусы); ставка — установленный оклад на момент выбытия. Идентификация — по исчезновению Person ID из среза.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Для дочерних организаций уход в декрет неотличим от увольнения — известная погрешность (в HR-5 различается по статусу).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Выходные пособия не входят в фактор — учитываются в F11_8 статьёй.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Выплаты после увольнения (бонусы, отпускные) не создают присутствия: критерий — запись, а не сумма.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Неттирование зеркальных пар «уволен–принят» — отклонено: факторы показываются раздельно, контроль через сумму.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Атрибуция плановых увольнений к бюджету при появлении такого планирования.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11 · F03 · Наймы прошлого года (эффект полного года)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Наймы прошлого года / эффект полного года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HIRE_PY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 / да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 + reverse YTD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Person_Id + Month + Legal/GU/MIR + Component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HRBP / Reward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Люди, принятые в прошлом году, в базе PY оплачены неполный год, а в текущем году работают полный год. Фактор «дожимает» их эффект до полного года — только в месяцах, которых не было в PY.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Reverse YTD: окно январь – (месяц найма PY − 1). Эффект = Ставка × (месяц найма − 1). Пример: найм в марте PY на 100 → окно янв–фев, +200.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Если найм PY заложен в обеих версиях, сторно и реализация гасят друг друга; фактор возникает только при расхождении версий по этому сотруднику.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Не применяется: эффект относится к годовому сравнению.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Событие найма PY (из истории A_ASSIGNMENT), ставка — оклад на момент найма; повышения PY учитываются отдельно в F07_2.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Если сотрудник уволен до текущего года, эффект полного года перекрывается фактором Leaver PY — сумма факторов остаётся корректной.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Ставка номинальная; доначисления и перерасчёты PY не учитываются.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Параметризация длины окна PY-факторов (фиксированная vs от даты события) — реализовано «от даты события».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12 · F04 · Увольнения прошлого года (эффект полного года)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Увольнения прошлого года / эффект полного года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LEAVER_PY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 / да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 + reverse YTD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Person_Id + Month + Legal/GU/MIR + Component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HRBP / Reward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Люди, уволенные в прошлом году: в базе PY они получили выплаты за часть года, в текущем году их нет вовсе. Фактор показывает годовую экономию от выбытий PY за пределами уже отражённой в PY части.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Reverse YTD со знаком минус: окно январь – (месяц увольнения PY − 1). Эффект = −Ставка × (месяц − 1). Пример: увольнение в декабре PY (ставка 110) → окно янв–ноя, −1 210.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Симметрично F03: возникает только при расхождении версий по сотруднику.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Не применяется.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Событие увольнения PY, ставка — оклад на момент выбытия. При повторном найме в CY пара «Leaver PY + Hire CY» образует зеркальные факторы; они не неттируются.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Зеркальные пары визуально увеличивают водопад; компенсируется агрегацией и drill-down.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Оклад повторного найма, отличный от оклада выбытия, не выделяется (разница в нетто-паре).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Отдельный фактор «переприём с другим окладом» — открытый вопрос №13.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13 · F05 · Вакансии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Вакансии (open/close × ПГ/ТГ)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VACANCY → F05_1 OPEN_PY / F05_2 CLOSE_PY / F05_3 OPEN_CY / F05_4 CLOSE_CY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Демография / позиция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 / да, если есть премиальная схема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Vacancy proxy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Vacancy_Id + Month + Legal/GU/MIR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Recruiting / HRBP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Открытие и закрытие вакансий. Вакансия — позиция без сотрудника; её бюджетный оклад создаёт затраты версии. Критерий прост: появление записи вакансии в источнике = open, исчезновение = close.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Open/close классифицируются по году события (ПГ/ТГ); окна — по тем же правилам, что найм/увольнение (CY: до конца года; PY: reverse YTD).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Все вакансии бюджета = плановые наймы ТГ. Отсутствующая в форкасте вакансия сторнируется полностью; снятая частично — по месяцам снятия. Новые вакансии форкаста — реализация (плюс).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Эффект = ставка вакансии в месяце появления/исчезновения.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Записи вакансий в бюджете/форкасте (Vacancy_Id, ставка, атрибуты среза). Статусы вакансий — только «open»; статусы active/LTL к вакансиям не применяются.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Нет связки Vacancy ID ↔ Person ID: закрытие вакансии наймом конкретного человека не устанавливается; сторно вакансии и найм показываются раздельно.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Даже после запуска HC Tracker связка будет неполной из-за ограничений периметра.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Поле Replacement (Yes/No) не используется — открытый вопрос №12.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При появлении связки: разложение «замещение вакансии наймом» на эффект сроков и эффект ставки — целевая аналитика этапа 2.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14 · F06 · Трансферы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Трансферы (roll-up)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TRANSFERS → F06_1 TRANSFER_IN / F06_2 TRANSFER_OUT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Roll-up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Сумма дочерних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Two-row movement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Person_Id + Legal/GU/MIR + статус + Month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HRBP / Reward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Перемещения сотрудников между срезами (юрлицо, Global Unit, меркод) при неизменном Person ID. На общем уровне трансфер может давать ноль, но перераспределяет затраты между подразделениями и юрлицами.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Две строки: минус на старом срезе (out), плюс на новом (in) с месяца перевода до конца окна.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Единая логика сторно/реализация: перевод, заложенный в бюджете в одном месте и случившийся в другом, даёт сторно по бюджетному срезу и реализацию по форкастному.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Минус/плюс по срезам в месяце перевода.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Сравнение комбинаций атрибутов месяц к месяцу: обрыв записи по старой комбинации = transfer-out, появление по новой = transfer-in. Assignment ID не используется (меркод может меняться внутри одного Assignment).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Мульти-атрибутный перевод (юрлицо + Global Unit одновременно) — один трансфер, не два.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Если в месяце перевода меняется статус — трансфер не фиксируется (приоритет статуса).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Выход из декрета с переводом — только LTL-out в новом юрлице.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Детализация до раздельных Transfer Legal Entity / Transfer Global Unit / Transfer MIR — открытый вопрос №7.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Формальная фиксация полного набора из четырёх атрибутов — открытый вопрос №5.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15 · F07 · Пересмотр оклада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Пересмотр оклада (roll-up)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INCREASE_SALARY → F07_1 CY / F07_2 PY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Roll-up компенсационный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 / опционально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Person_Id + Month + Legal/GU/MIR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Reward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Изменение номинального оклада действующих сотрудников — без движения численности. Отвечает на вопрос: «насколько изменились затраты из-за пересмотров окладов».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F07_1 (ТГ): дельта оклада м/м × окно до конца года. F07_2 (ПГ): reverse YTD — дельта × месяцы до месяца повышения. Пример: +10 в сентябре PY → +10 × 8 = +80.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Декомпозиция: сторно бюджетного повышения + реализация форкастного; наверху — агрегат с drill-down (пример −30/+70 = +40). Превышение = «сверхбюджетированное повышение», недовыполнение = «нереализованное».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Эффект = дельта оклада в месяце повышения.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Ключевое правило очистки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Пересмотр считается только в месяцах, где не активны факторы найма/увольнения (PY и CY): если в месяце есть hire/leaver, вся дельта месяца относится к ним. Это исключает двойной счёт между демографией и компенсацией.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Установленный оклад HRPT по месяцам; производные эффекты (соцвзносы, квартальные) — по согласованным ставкам от доли изменения оклада, когда методология будет утверждена (открытый вопрос №2).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Повышение в месяце найма не выделяется — подавлено событием найма.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Понижения оклада обрабатываются той же логикой со знаком минус.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Модельные ставки для производных статей дают погрешность и возможные контринтуитивные знаки.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Ставки производных эффектов: усреднённые из бюджета vs точные из 1С без порогов — согласуется с Леной и Юрой.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Нейминг компонентов сторно/реализация для руководства — открытый вопрос №9.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16 · F08 · Отпускные и резерв отпусков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Отпускные и резерв отпусков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VACATION_PAY_RESERVE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Статья к статье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Да, через component / нет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Direct delta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Month × Legal × GU × MIR × Component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Finance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Отклонение по отпускным и резерву отпусков как по статье затрат, без привязки к конкретным сотрудникам и событиям.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 статьи: Value(SV) − Value(CV) по маппингу компонентов.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 статьи между версиями.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 статьи между месяцами.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Компоненты отпускных и резерва в MG_COMPENSATION; маппинг Component → Vacation.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Отпускные сознательно не атрибутируются к демографическим факторам: допущение о нематериальности и отсутствие поимённых данных.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Крупные выплаты отпускных могут маскировать событийные эффекты — интерпретируется в рамках «прочего».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После появления поимённого факта — атрибуция отпускных к hire/leaver/LTL — открытый вопрос №11.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17 · F09–F10 · Резервы годовой премии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Восстановление резерва премии ПГ / Резерв текущего года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RESERVE_RESTORATION_PY / RESERVE_CURRENT_YEAR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Резерв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Нет / да, резерв премии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Direct delta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Month × Legal × GU × MIR × Component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Finance / Reward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Что показывает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Движение резервов годовой премии: F09 — доначисление/восстановление резерва прошлого года, F10 — резерв текущего года.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Как считается по сценариям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300"/>
        <w:gridCol w:w="3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Сценарий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Как считается фактор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 к году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 резервных компонентов; показывается только в режиме Waterfall «с резервами».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vs форкаст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Аналогично: прямая дельта, режим «с резервами».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 к месяцу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 резервных компонентов.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Из чего складывается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Резервные компоненты премии; календарь резервирования; маппинг Component → Reserve.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Ограничения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Два представления (с резервами / без) — без пересчёта, переключением режима Waterfall.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Точность зависит от календаря резервирования и правил eligibility.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Альтернативы и открытые вопросы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Интеграция с бонусной моделью Same Store на этапе 2.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18 · F11 · Прочее: длительные отсутствия, стажёры, остаток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/>
      </w:tblPr>
      <w:tblGrid>
        <w:gridCol w:w="2700"/>
        <w:gridCol w:w="6300"/>
      </w:tblGrid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/ название RU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Прочее (roll-up)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Код EN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OTHER → F11_1…F11_11 + F11_99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Тип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Roll-up смешанный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дочерним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Метод расчёта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PersonID proxy / Direct delta / Residual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Уровень расчёта (grain)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дочернему фактору</w:t>
            </w:r>
          </w:p>
        </w:tc>
      </w:tr>
      <w:tr>
        <w:trPr>
          <w:cantSplit/>
        </w:trPr>
        <w:tc>
          <w:tcPr>
            <w:shd w:val="clear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 xml:space="preserve">Владелец данных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Разные</w:t>
            </w:r>
          </w:p>
        </w:tc>
      </w:tr>
    </w:tbl>
    <w:p>
      <w:pPr>
        <w:spacing w:before="0" w:after="1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Состав группы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800"/>
        <w:gridCol w:w="1800"/>
        <w:gridCol w:w="24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Код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Подфактор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Логика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F11_1 / F11_2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LTL start / end ТГ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Уход в длительное отсутствие и возврат в текущем году: окно от события до конца года; запись сохраняется, оклад = 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F11_3 / F11_4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LTL start / end ПГ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То же для событий прошлого года: окно reverse YTD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Новое юрлицо (NEW_LE)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Периметр: затраты нового юрлица целиком; приоритет выше демографии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F11_6–F11_8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Выплаты органам управления, страхование, выходные пособия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Статья к статье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F11_9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Переносы OPEX/CAPEX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Структурные переносы между категориями затрат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F11_10 / F11_11 (новое)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Перевод стажёров в штат ПГ / ТГ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Специфический трансфер со сменой статуса и eligibility на бонус; временно в «Прочее», возможна реклассификация в демографию (открытый вопрос №8)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F11_99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Неразложенное отклонение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Остаток: SVvsCV − Σ(все факторы); выше порога — на разбор</w:t>
            </w:r>
          </w:p>
        </w:tc>
      </w:tr>
    </w:tbl>
    <w:p>
      <w:pPr>
        <w:spacing w:before="0" w:after="6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Длительные отсутствия (LTL)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Уход в декрет/длительный отпуск и возврат идентифицируются по смене статуса (Active ↔ Long-Term Leave), а не по исчезновению записи — записи в HR-5 в период LTL сохраняются с нулевым окладом. Это отличает LTL от увольнения. Для дочерних организаций без статусной детализации LTL неотличим от увольнения/найма — известная погрешность, принятая как допущение. Кейс «выход из декрета + перевод» фиксируется как LTL-out в новом юрлице без трансфера.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Перевод стажёров в штат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Событие меняет статус и подразделение стажёра и переводит его в категорию bonus eligible — это критично для бонусной модели Same Store. Изменение оклада при переводе не считается пересмотром (F07) — отражается внутри этого фактора. Фактор заведён парой ПГ/ТГ; классификация (прочее vs демография) будет пересмотрена после первых расчётов.</w:t>
      </w:r>
    </w:p>
    <w:p>
      <w:pPr>
        <w:pStyle w:val="Heading3"/>
        <w:keepNext/>
        <w:spacing w:before="140" w:after="60"/>
      </w:pPr>
      <w:r>
        <w:rPr>
          <w:rFonts w:ascii="Calibri" w:hAnsi="Calibri" w:cs="Calibri"/>
          <w:b/>
          <w:color w:val="B85C2B"/>
          <w:sz w:val="22"/>
        </w:rPr>
        <w:t xml:space="preserve">Неразложенное отклонение (F11_99)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Балансирующий остаток гарантирует полноту моста: сумма всех факторов всегда равна контрольной дельте. Материальный остаток — сигнал ошибки маппинга или неучтённого события; уходит на разбор владельцу данных.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19 · Сквозные числовые примеры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Полные помесячные модели с формулами и контрольными сверками — в Excel-приложении «Приложение_к_методологии_сквозные_примеры.xlsx». Здесь — итоговые раскладки.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19.1. Пример 1 · Год к году (прогноз CY vs факт PY): сотрудник А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События: найм в марте PY на 100 → повышение +10 в сентябре PY → увольнение в декабре PY → повторный найм в феврале CY на 130 (+20 к прежнему окладу) → повышение +15 в апреле CY → уход в декрет в августе CY.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200"/>
        <w:gridCol w:w="1500"/>
        <w:gridCol w:w="1100"/>
        <w:gridCol w:w="500"/>
        <w:gridCol w:w="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Фактор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Событие-драйвер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Окно в CY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Ставка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Эффект, руб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F03 · Hire PY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Найм март PY @ 100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янв–фев (reverse YTD)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+100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+200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F07_2 · Пересмотр ПГ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Повышение +10 сент PY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янв–авг (reverse YTD)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+10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+80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F04 · Leaver PY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Увольнение дек PY @ 110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янв–ноя (reverse YTD)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−110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−1 210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F01 · Hire CY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Повторный найм фев CY @ 130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фев–дек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+130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+1 430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F07_1 · Пересмотр ТГ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Повышение +15 апр CY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апр–дек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+15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+135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F11_1 · LTL start ТГ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Декрет с авг CY @ 145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авг–дек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−145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−725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ИТОГО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Контроль: 840 − 930 = −90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/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/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−90</w:t>
            </w:r>
          </w:p>
        </w:tc>
      </w:tr>
    </w:tbl>
    <w:p>
      <w:pPr>
        <w:spacing w:before="0" w:after="4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Сумма факторов (−90) точно равна прямой дельте версий помесячно и за год — контрольная сходимость выполнена.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Повторный найм даёт зеркальные факторы Leaver PY (−1 210) и Hire CY (+1 430): сотрудник присутствует в обоих, факторы не неттируются.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Премия повторного найма (+20 к прежним 110) не выделяется отдельным фактором — сидит в нетто-паре (+220 = 20 × 11 мес): зафиксированное ограничение.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Декрет отражён как LTL (запись сохраняется, HR-5). В данных дочерних организаций тот же кейс дал бы погрешность: уход в декрет → leaver, возврат → hire.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123B2F"/>
          <w:sz w:val="25"/>
        </w:rPr>
        <w:t xml:space="preserve">19.2. Пример 2 · Бюджет vs форкаст: вакансия B и сотрудник C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В бюджете заложена вакансия B с февраля на 200 руб/мес. В форкасте вакансия B отсторнирована; сотрудник C нанят в апреле на 250 руб/мес и увольняется в ноябре (ноябрь — первый месяц отсутствия).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600"/>
        <w:gridCol w:w="1000"/>
        <w:gridCol w:w="700"/>
        <w:gridCol w:w="600"/>
        <w:gridCol w:w="7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Фактор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Версия / знак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Окно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Ставка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Эффект, руб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F05_4 · Вакансия B — сторно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/ минус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фев–дек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−200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−2 200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F01 · Hire C — реализация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Форкаст / плюс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апр–дек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+250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+2 250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F02 · Leaver C — реализация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Форкаст / минус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ноя–дек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−250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−500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ИТОГО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Контроль: 1 750 − 2 200 = −450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/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/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−450</w:t>
            </w:r>
          </w:p>
        </w:tc>
      </w:tr>
    </w:tbl>
    <w:p>
      <w:pPr>
        <w:spacing w:before="0" w:after="4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33302A"/>
          <w:sz w:val="21"/>
        </w:rPr>
        <w:t xml:space="preserve">Агрегированное представление для водопада: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100"/>
        <w:gridCol w:w="700"/>
        <w:gridCol w:w="32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Агрегат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Эффект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Drill-down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Наймы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+50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Сторно вакансии B −2 200; найм C +2 250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−500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Увольнение C −500 (в бюджете не планировалось)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ИТОГО отклонение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−450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Форкаст 1 750 против бюджета 2 200</w:t>
            </w:r>
          </w:p>
        </w:tc>
      </w:tr>
    </w:tbl>
    <w:p>
      <w:pPr>
        <w:spacing w:before="0" w:after="4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Связки Vacancy B ↔ Person C нет: нельзя показать «C закрыл вакансию B» — сторно и найм показаны раздельно; разница ставок (+50) и сдвиг сроков (февраль→апрель) видны только в нетто.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Если вакансия B в форкасте остаётся открытой в будущих месяцах, сторно применяется только к месяцам снятия; открытые месяцы фактора не создают.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20 · Контроль качества и сходимость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Контрольная сумма. </w:t>
      </w:r>
      <w:r>
        <w:rPr>
          <w:rFonts w:ascii="Calibri" w:hAnsi="Calibri" w:cs="Calibri"/>
          <w:color w:val="33302A"/>
          <w:sz w:val="21"/>
        </w:rPr>
        <w:t xml:space="preserve">Σ(все факторы) = SVvsCV за год и помесячно. Несовпадение — ошибка классификации или маппинга; DQ-флаг.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Тестовые профили. </w:t>
      </w:r>
      <w:r>
        <w:rPr>
          <w:rFonts w:ascii="Calibri" w:hAnsi="Calibri" w:cs="Calibri"/>
          <w:color w:val="33302A"/>
          <w:sz w:val="21"/>
        </w:rPr>
        <w:t xml:space="preserve">Минимальный набор кейсов (предложен Васей): стабильный сотрудник без изменений; найм до анализируемого периода; найм в PY с повышениями в разные месяцы; вакансии; запланированное, но не состоявшееся увольнение. Каждый кейс прогоняется через модель с фиксацией результатов.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Ревью формул. </w:t>
      </w:r>
      <w:r>
        <w:rPr>
          <w:rFonts w:ascii="Calibri" w:hAnsi="Calibri" w:cs="Calibri"/>
          <w:color w:val="33302A"/>
          <w:sz w:val="21"/>
        </w:rPr>
        <w:t xml:space="preserve">Проверки активности hire/leaver выносится во вспомогательные столбцы (декомпозиция вложенных IF); чек-лист условий и тесты крайних случаев; ревизия дублей условий.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Интерпретация отрицательных значений. </w:t>
      </w:r>
      <w:r>
        <w:rPr>
          <w:rFonts w:ascii="Calibri" w:hAnsi="Calibri" w:cs="Calibri"/>
          <w:color w:val="33302A"/>
          <w:sz w:val="21"/>
        </w:rPr>
        <w:t xml:space="preserve">Чек-лист типовых ситуаций (нереализованное повышение, недозакрытая вакансия) с готовыми формулировками для руководства: «закладывали одно, реализовано другое».</w:t>
      </w:r>
    </w:p>
    <w:p>
      <w:pPr>
        <w:spacing w:before="0" w:after="60" w:line="276" w:lineRule="auto"/>
        <w:ind w:left="284" w:hanging="170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Ревью стейкхолдера. </w:t>
      </w:r>
      <w:r>
        <w:rPr>
          <w:rFonts w:ascii="Calibri" w:hAnsi="Calibri" w:cs="Calibri"/>
          <w:color w:val="33302A"/>
          <w:sz w:val="21"/>
        </w:rPr>
        <w:t xml:space="preserve">Ревью Васи встроено в контур качества: замечания фиксируются и устраняются до следующей итерации.</w:t>
      </w:r>
    </w:p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21 · Открытые вопросы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300"/>
        <w:gridCol w:w="2800"/>
        <w:gridCol w:w="19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№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Вопрос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Куда вынесен / владелец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1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Перечень статей выплат помимо Salary для идентификации событий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Согласование с Юрой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2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Ставки производных эффектов пересмотра окладов (соцвзносы, квартальные): усреднённые vs 1С без порогов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Встреча с Леной и Юрой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3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Новая модель соцвзносов: сроки, методологическое ревью, интеграция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Юра (разработка), Лена (методология), Женя (реализация)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4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Сроки и формат поимённого факта 1С; схема приёмки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Вася / владелец данных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5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Полный набор из четырёх атрибутов трансферов — формально зафиксировать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Методология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6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Фиксация номинала оклада: на дату события vs помесячное обновление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Методология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7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Детализация трансферов по атрибутам: один трансфер vs раздельные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Методология, оценка влияния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8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Классификация «перевод стажёров в штат»: прочее vs демография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После первых расчётов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9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Пользовательские названия компонентов сторно/реализация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Настройка отчётности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10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Методика включения квартальных премий в демографические факторы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Методология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11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Поведение факторов при ретроспективных корректировках факта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После появления поимёнки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12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Использование поля Replacement (Yes/No) по вакансиям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Методология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13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Выделение дельты оклада при повторном найме отдельным фактором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Следующая волна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14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Пропорционирование неполных месяцев по дням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Следующая волна</w:t>
            </w:r>
          </w:p>
        </w:tc>
      </w:tr>
    </w:tbl>
    <w:p>
      <w:pPr>
        <w:pStyle w:val="Heading1"/>
        <w:keepNext/>
        <w:pageBreakBefore/>
        <w:pBdr>
          <w:bottom w:val="single" w:color="B08D3E" w:sz="12" w:space="4"/>
        </w:pBdr>
        <w:spacing w:before="0" w:after="60"/>
      </w:pPr>
      <w:r>
        <w:rPr>
          <w:rFonts w:ascii="Calibri" w:hAnsi="Calibri" w:cs="Calibri"/>
          <w:b/>
          <w:color w:val="123B2F"/>
          <w:sz w:val="34"/>
        </w:rPr>
        <w:t xml:space="preserve">22 · Глоссарий</w:t>
      </w:r>
    </w:p>
    <w:tbl>
      <w:tblPr>
        <w:tblW w:w="5000" w:type="pct"/>
        <w:tblBorders>
          <w:top w:val="single" w:color="DCD5C3" w:sz="4"/>
          <w:left w:val="single" w:color="DCD5C3" w:sz="4"/>
          <w:bottom w:val="single" w:color="DCD5C3" w:sz="4"/>
          <w:right w:val="single" w:color="DCD5C3" w:sz="4"/>
          <w:insideH w:val="single" w:color="DCD5C3" w:sz="4"/>
          <w:insideV w:val="single" w:color="DCD5C3" w:sz="4"/>
        </w:tblBorders>
        <w:tblLook w:val="04A0" w:firstRow="true" w:lastRow="false" w:firstColumn="false" w:lastColumn="false" w:noHBand="false" w:noVBand="true"/>
      </w:tblPr>
      <w:tblGrid>
        <w:gridCol w:w="1200"/>
        <w:gridCol w:w="3800"/>
      </w:tblGrid>
      <w:tr>
        <w:trPr>
          <w:cantSplit/>
          <w:tblHeader/>
        </w:trPr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Термин</w:t>
            </w:r>
          </w:p>
        </w:tc>
        <w:tc>
          <w:tcPr>
            <w:shd w:val="clear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SV / CV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Selected Version — анализируемая версия; Compared Version — база сравнения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SVvsCV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Базовое отклонение версий на минимальном срезе; контрольная сумма факторизации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FIX / VARIABLE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Фиксированная часть ФОТ (до премии) / премиальная часть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Person ID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Уникальный идентификатор сотрудника; основа идентификации событий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Окно фактора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Месяцы, в которых событие влияет на сравнение; CY: от события до конца года; PY: январь – (месяц события − 1)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Reverse YTD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Правило факторов прошлого года: полный годовой эффект минус часть, попавшая в PY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Сторно / реализация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Механика «бюджет vs форкаст»: бюджетные факторы откатываются минусом, форкастные добавляются плюсом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LTL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Long-Term Leave — длительное отсутствие (декрет и аналоги); запись сохраняется с нулевым окладом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Grain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Уровень детализации расчёта: Person × месяц × юрлицо × Global Unit × меркод × Component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HR-5 (HRPT)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Основная HR-система с полными статусами; источник номинальных окладов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Меркод (MIR)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Код центра затрат / аналитический код позиции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Waterfall / drill-down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Водопад факторов; проваливание агрегата до компонентов сторно/реализация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Same Store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Существующая бонусная модель (hires/leavers/transfers, пороги eligibility) — основа этапа 2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MG_COMPENSATION_Log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Целевая таблица результатов факторизации</w:t>
            </w:r>
          </w:p>
        </w:tc>
      </w:tr>
      <w:tr>
        <w:trPr>
          <w:cantSplit/>
        </w:trPr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Dim_Factor</w:t>
            </w:r>
          </w:p>
        </w:tc>
        <w:tc>
          <w:tcPr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Справочник иерархии факторов (родители/дочерние коды)</w:t>
            </w:r>
          </w:p>
        </w:tc>
      </w:tr>
    </w:tbl>
    <w:p>
      <w:pPr>
        <w:sectPr>
          <w:headerReference w:type="default" r:id="R5a6057f3f096469c"/>
          <w:footerReference w:type="default" r:id="Rcfbaeb4a79cd4efd"/>
          <w:pgSz w:w="11906" w:h="16838"/>
          <w:pgMar w:top="1134" w:right="1134" w:bottom="1134" w:left="1134" w:header="567" w:footer="567"/>
        </w:sectPr>
      </w:pPr>
    </w:p>
    <w:p>
      <w:pPr>
        <w:spacing w:before="0" w:after="0"/>
      </w:pPr>
      <w:r>
        <w:drawing>
          <wp:anchor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10"/>
            <wp:effectExtent l="0" t="0" r="0" b="0"/>
            <wp:wrapNone/>
            <wp:docPr id="102" name="BG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bg102.png"/>
                    <pic:cNvPicPr/>
                  </pic:nvPicPr>
                  <pic:blipFill>
                    <a:blip r:embed="Rfefbf8ab9485497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7000"/>
      </w:pPr>
      <w:r>
        <w:rPr>
          <w:rFonts w:ascii="Calibri" w:hAnsi="Calibri" w:cs="Calibri"/>
          <w:color w:val="33302A"/>
          <w:sz w:val="8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123B2F"/>
          <w:sz w:val="24"/>
        </w:rPr>
        <w:t xml:space="preserve">Методология факторного анализа · v2.0</w:t>
      </w:r>
    </w:p>
    <w:p>
      <w:pPr>
        <w:spacing w:before="0" w:after="60" w:line="276" w:lineRule="auto"/>
      </w:pPr>
      <w:r>
        <w:rPr>
          <w:rFonts w:ascii="Calibri" w:hAnsi="Calibri" w:cs="Calibri"/>
          <w:color w:val="6E685B"/>
          <w:sz w:val="20"/>
        </w:rPr>
        <w:t xml:space="preserve">Проект «Бюджетная система по затратам на персонал» · август 2026</w:t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6E685B"/>
          <w:sz w:val="18"/>
        </w:rPr>
        <w:t xml:space="preserve">Изменения методологии — через Decision Log проекта</w:t>
      </w:r>
    </w:p>
    <w:sectPr>
      <w:footerReference w:type="default" r:id="R67528e8e014d43e1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r/>
  </w:p>
</w:ftr>
</file>

<file path=word/footer2.xml><?xml version="1.0" encoding="utf-8"?>
<w:ftr xmlns:w="http://schemas.openxmlformats.org/wordprocessingml/2006/main">
  <w:p>
    <w:pPr>
      <w:spacing w:before="0" w:after="0"/>
      <w:jc w:val="center"/>
    </w:pPr>
    <w:r>
      <w:rPr>
        <w:rFonts w:ascii="Calibri" w:hAnsi="Calibri" w:cs="Calibri"/>
        <w:color w:val="6E685B"/>
        <w:sz w:val="16"/>
      </w:rPr>
      <w:t xml:space="preserve">Методология факторного анализа · v2.0 · </w:t>
    </w:r>
    <w:r>
      <w:rPr>
        <w:rFonts w:ascii="Calibri" w:hAnsi="Calibri"/>
        <w:color w:val="6E685B"/>
        <w:sz w:val="16"/>
      </w:rPr>
      <w:fldChar w:fldCharType="begin"/>
    </w:r>
    <w:r>
      <w:rPr>
        <w:rFonts w:ascii="Calibri" w:hAnsi="Calibri"/>
        <w:color w:val="6E685B"/>
        <w:sz w:val="16"/>
      </w:rPr>
      <w:instrText xml:space="preserve"> PAGE </w:instrText>
    </w:r>
    <w:r>
      <w:rPr>
        <w:rFonts w:ascii="Calibri" w:hAnsi="Calibri"/>
        <w:color w:val="6E685B"/>
        <w:sz w:val="16"/>
      </w:rPr>
      <w:fldChar w:fldCharType="separate"/>
    </w:r>
    <w:r>
      <w:rPr>
        <w:rFonts w:ascii="Calibri" w:hAnsi="Calibri"/>
        <w:color w:val="6E685B"/>
        <w:sz w:val="16"/>
      </w:rPr>
      <w:t>1</w:t>
    </w:r>
    <w:r>
      <w:rPr>
        <w:rFonts w:ascii="Calibri" w:hAnsi="Calibri"/>
        <w:color w:val="6E685B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r/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keepNext/>
    </w:pPr>
    <w:rPr>
      <w:b/>
      <w:color w:val="123B2F"/>
      <w:sz w:val="34"/>
    </w:rPr>
  </w:style>
  <w:style w:type="paragraph" w:styleId="Heading2">
    <w:name w:val="Heading 2"/>
    <w:pPr>
      <w:keepNext/>
    </w:pPr>
    <w:rPr>
      <w:b/>
      <w:color w:val="123B2F"/>
      <w:sz w:val="25"/>
    </w:rPr>
  </w:style>
  <w:style w:type="paragraph" w:styleId="Heading3">
    <w:name w:val="Heading 3"/>
    <w:pPr>
      <w:keepNext/>
    </w:pPr>
    <w:rPr>
      <w:b/>
      <w:color w:val="B85C2B"/>
      <w:sz w:val="22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116ace67c3e4962" /><Relationship Type="http://schemas.openxmlformats.org/officeDocument/2006/relationships/image" Target="media/image.png" Id="R4d1b08a2fd5b4a08" /><Relationship Type="http://schemas.openxmlformats.org/officeDocument/2006/relationships/image" Target="media/image2.png" Id="Rfefbf8ab94854973" /><Relationship Type="http://schemas.openxmlformats.org/officeDocument/2006/relationships/header" Target="header1.xml" Id="R5a6057f3f096469c" /><Relationship Type="http://schemas.openxmlformats.org/officeDocument/2006/relationships/footer" Target="footer1.xml" Id="Rcfbaeb4a79cd4efd" /><Relationship Type="http://schemas.openxmlformats.org/officeDocument/2006/relationships/footer" Target="footer2.xml" Id="R67528e8e014d43e1" /></Relationships>
</file>