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19</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p>
    <w:p>
      <w:pPr>
        <w:pStyle w:val="Author"/>
      </w:pP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 the heuristic process of constructing and manipulating models’, a</w:t>
      </w:r>
      <w:r>
        <w:t xml:space="preserve"> </w:t>
      </w:r>
      <w:r>
        <w:t xml:space="preserve">“</w:t>
      </w:r>
      <w:r>
        <w:t xml:space="preserve">model</w:t>
      </w:r>
      <w:r>
        <w:t xml:space="preserve">”</w:t>
      </w:r>
      <w:r>
        <w:t xml:space="preserve"> </w:t>
      </w:r>
      <w:r>
        <w:t xml:space="preserve">I take to be either a representation of something for purposes of study, or a design for realizing something new.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 (Geertz 1973: 93)</w:t>
      </w:r>
      <w:r>
        <w:rPr>
          <w:rStyle w:val="FootnoteReference"/>
        </w:rPr>
        <w:footnoteReference w:id="23"/>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&amp; Morrison, 1999)</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n.d., p.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 how we know what we know. On the one hand, as Michael Polanyi observed,</w:t>
      </w:r>
      <w:r>
        <w:t xml:space="preserve"> </w:t>
      </w:r>
      <w:r>
        <w:t xml:space="preserve">“</w:t>
      </w:r>
      <w:r>
        <w:t xml:space="preserve">we can know more than we can tell</w:t>
      </w:r>
      <w:r>
        <w:t xml:space="preserve">”</w:t>
      </w:r>
      <w:r>
        <w:t xml:space="preserve"> </w:t>
      </w:r>
      <w:r>
        <w:t xml:space="preserve">(1966, pp.:4–5)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1985: 46; cf. Fetzer, 1999: 23)</w:t>
      </w:r>
      <w:r>
        <w:t xml:space="preserve">.</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w:t>
      </w:r>
      <w:r>
        <w:rPr>
          <w:rStyle w:val="FootnoteReference"/>
        </w:rPr>
        <w:footnoteReference w:id="24"/>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w:t>
      </w:r>
      <w:r>
        <w:t xml:space="preserve"> </w:t>
      </w:r>
      <w:r>
        <w:t xml:space="preserve">(1971 :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(1972: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w:t>
      </w:r>
      <w:r>
        <w:t xml:space="preserve">Ziman (2000)</w:t>
      </w:r>
      <w:r>
        <w:t xml:space="preserve">: 126–38, 147–50;</w:t>
      </w:r>
      <w:r>
        <w:t xml:space="preserve"> </w:t>
      </w:r>
      <w:r>
        <w:t xml:space="preserve">Toulmin (1955)</w:t>
      </w:r>
      <w:r>
        <w:t xml:space="preserve">: 94–109).</w:t>
      </w:r>
      <w:r>
        <w:t xml:space="preserve"> </w:t>
      </w:r>
      <w:r>
        <w:t xml:space="preserve">Goodman (1972)</w:t>
      </w:r>
      <w:r>
        <w:t xml:space="preserve"> </w:t>
      </w:r>
      <w:r>
        <w:t xml:space="preserve">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rPr>
          <w:rStyle w:val="FootnoteReference"/>
        </w:rPr>
        <w:footnoteReference w:id="27"/>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28" w:name="analogy"/>
      <w:r>
        <w:t xml:space="preserve">Analogy</w:t>
      </w:r>
      <w:bookmarkEnd w:id="28"/>
    </w:p>
    <w:p>
      <w:pPr>
        <w:pStyle w:val="FirstParagraph"/>
      </w:pPr>
      <w:r>
        <w:t xml:space="preserve">“</w:t>
      </w:r>
      <w:r>
        <w:t xml:space="preserve">Analogy</w:t>
      </w:r>
      <w:r>
        <w:t xml:space="preserve">”</w:t>
      </w:r>
      <w:r>
        <w:t xml:space="preserve"> </w:t>
      </w:r>
      <w:r>
        <w:t xml:space="preserve">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29"/>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Heading1"/>
      </w:pPr>
      <w:bookmarkStart w:id="30" w:name="representation"/>
      <w:r>
        <w:t xml:space="preserve">Representation</w:t>
      </w:r>
      <w:bookmarkEnd w:id="30"/>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(1976: 3–41)</w:t>
      </w:r>
      <w:r>
        <w:rPr>
          <w:rStyle w:val="FootnoteReference"/>
        </w:rPr>
        <w:footnoteReference w:id="31"/>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2"/>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(2001: 11–12)</w:t>
      </w:r>
    </w:p>
    <w:p>
      <w:pPr>
        <w:pStyle w:val="FirstParagraph"/>
      </w:pPr>
      <w:r>
        <w:t xml:space="preserve">Projects such as Cyc, based on what Northrop Frye characterized as the discredited Wissenscbaft-theory of knowledge – that its accumulation in vast quantities will one day, somehow, result in understanding</w:t>
      </w:r>
      <w:r>
        <w:rPr>
          <w:rStyle w:val="FootnoteReference"/>
        </w:rPr>
        <w:footnoteReference w:id="33"/>
      </w:r>
      <w:r>
        <w:t xml:space="preserve"> </w:t>
      </w:r>
      <w:r>
        <w:t xml:space="preserve">– clearly assume if not perfect closure, then a threshold beyond which lack of perfection ceases to matter. But to whom, and for what purposes?</w:t>
      </w:r>
      <w:r>
        <w:rPr>
          <w:rStyle w:val="FootnoteReference"/>
        </w:rPr>
        <w:footnoteReference w:id="34"/>
      </w:r>
      <w:r>
        <w:t xml:space="preserve"> </w:t>
      </w:r>
      <w:r>
        <w:t xml:space="preserve">Apart from such questions, and the serious doubts within computer science on the wisdom of building massive knowledge-bases for expert systems</w:t>
      </w:r>
      <w:r>
        <w:rPr>
          <w:rStyle w:val="FootnoteReference"/>
        </w:rPr>
        <w:footnoteReference w:id="35"/>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 12)</w:t>
      </w:r>
      <w:r>
        <w:t xml:space="preserve">, our intellectual claustrophobia tells an important tale. Not, of course, the only one. If the point of modeling is to fail well, then KR has a vital quality-control function to serve.</w:t>
      </w:r>
    </w:p>
    <w:p>
      <w:pPr>
        <w:pStyle w:val="Heading1"/>
      </w:pPr>
      <w:bookmarkStart w:id="36" w:name="bibliography"/>
      <w:r>
        <w:t xml:space="preserve">Bibliography</w:t>
      </w:r>
      <w:bookmarkEnd w:id="36"/>
    </w:p>
    <w:bookmarkStart w:id="60" w:name="refs"/>
    <w:bookmarkStart w:id="37" w:name="ref-achinstein_concepts_1971"/>
    <w:p>
      <w:pPr>
        <w:pStyle w:val="Bibliography"/>
      </w:pPr>
      <w:r>
        <w:t xml:space="preserve">Achinstein, P. (1971).</w:t>
      </w:r>
      <w:r>
        <w:t xml:space="preserve"> </w:t>
      </w:r>
      <w:r>
        <w:rPr>
          <w:i/>
        </w:rPr>
        <w:t xml:space="preserve">Concepts of Science: A Philosophical Analysis</w:t>
      </w:r>
      <w:r>
        <w:t xml:space="preserve">. Baltimore: Johns Hopkins University Press.</w:t>
      </w:r>
    </w:p>
    <w:bookmarkEnd w:id="37"/>
    <w:bookmarkStart w:id="39" w:name="ref-cartwright_how_1983"/>
    <w:p>
      <w:pPr>
        <w:pStyle w:val="Bibliography"/>
      </w:pPr>
      <w:r>
        <w:t xml:space="preserve">Cartwright, N. (1983).</w:t>
      </w:r>
      <w:r>
        <w:t xml:space="preserve"> </w:t>
      </w:r>
      <w:r>
        <w:rPr>
          <w:i/>
        </w:rPr>
        <w:t xml:space="preserve">How the Laws of Physics Lie</w:t>
      </w:r>
      <w:r>
        <w:t xml:space="preserve">. Retrieved from</w:t>
      </w:r>
      <w:r>
        <w:t xml:space="preserve"> </w:t>
      </w:r>
      <w:hyperlink r:id="rId38">
        <w:r>
          <w:rPr>
            <w:rStyle w:val="Hyperlink"/>
          </w:rPr>
          <w:t xml:space="preserve">http://www.oxfordscholarship.com/view/10.1093/0198247044.001.0001/acprof-9780198247043</w:t>
        </w:r>
      </w:hyperlink>
    </w:p>
    <w:bookmarkEnd w:id="39"/>
    <w:bookmarkStart w:id="41" w:name="ref-fetzer_role_1999"/>
    <w:p>
      <w:pPr>
        <w:pStyle w:val="Bibliography"/>
      </w:pPr>
      <w:r>
        <w:t xml:space="preserve">Fetzer, J. H. (1999). The Role of Models in Computer Science.</w:t>
      </w:r>
      <w:r>
        <w:t xml:space="preserve"> </w:t>
      </w:r>
      <w:r>
        <w:rPr>
          <w:i/>
        </w:rPr>
        <w:t xml:space="preserve">The Monist</w:t>
      </w:r>
      <w:r>
        <w:t xml:space="preserve">,</w:t>
      </w:r>
      <w:r>
        <w:t xml:space="preserve"> </w:t>
      </w:r>
      <w:r>
        <w:rPr>
          <w:i/>
        </w:rPr>
        <w:t xml:space="preserve">82</w:t>
      </w:r>
      <w:r>
        <w:t xml:space="preserve">(1), 20–36.</w:t>
      </w:r>
      <w:r>
        <w:t xml:space="preserve"> </w:t>
      </w:r>
      <w:hyperlink r:id="rId40">
        <w:r>
          <w:rPr>
            <w:rStyle w:val="Hyperlink"/>
          </w:rPr>
          <w:t xml:space="preserve">https://doi.org/10.5840/monist19998211</w:t>
        </w:r>
      </w:hyperlink>
    </w:p>
    <w:bookmarkEnd w:id="41"/>
    <w:bookmarkStart w:id="43" w:name="ref-gentner_analogy_2002"/>
    <w:p>
      <w:pPr>
        <w:pStyle w:val="Bibliography"/>
      </w:pPr>
      <w:r>
        <w:t xml:space="preserve">Gentner, D. (2002). Analogy in scientific discovery: The case of Johannes Kepler.</w:t>
      </w:r>
      <w:r>
        <w:t xml:space="preserve"> </w:t>
      </w:r>
      <w:r>
        <w:rPr>
          <w:i/>
        </w:rPr>
        <w:t xml:space="preserve">Model-Based Reasoning: Science, Technology, Values</w:t>
      </w:r>
      <w:r>
        <w:t xml:space="preserve">, 21–39. Retrieved from</w:t>
      </w:r>
      <w:r>
        <w:t xml:space="preserve"> </w:t>
      </w:r>
      <w:hyperlink r:id="rId42">
        <w:r>
          <w:rPr>
            <w:rStyle w:val="Hyperlink"/>
          </w:rPr>
          <w:t xml:space="preserve">https://www.scholars.northwestern.edu/en/publications/analogy-in-scientific-discovery-the-case-of-johannes-kepler</w:t>
        </w:r>
      </w:hyperlink>
    </w:p>
    <w:bookmarkEnd w:id="43"/>
    <w:bookmarkStart w:id="44" w:name="ref-goodman_problems_1972"/>
    <w:p>
      <w:pPr>
        <w:pStyle w:val="Bibliography"/>
      </w:pPr>
      <w:r>
        <w:t xml:space="preserve">Goodman, N. (1972).</w:t>
      </w:r>
      <w:r>
        <w:t xml:space="preserve"> </w:t>
      </w:r>
      <w:r>
        <w:rPr>
          <w:i/>
        </w:rPr>
        <w:t xml:space="preserve">Problems and Projects</w:t>
      </w:r>
      <w:r>
        <w:t xml:space="preserve">. Indianapolis: Bobbs-Merrill.</w:t>
      </w:r>
    </w:p>
    <w:bookmarkEnd w:id="44"/>
    <w:bookmarkStart w:id="45" w:name="ref-goodman_languages_1976"/>
    <w:p>
      <w:pPr>
        <w:pStyle w:val="Bibliography"/>
      </w:pPr>
      <w:r>
        <w:t xml:space="preserve">Goodman, N. (1976).</w:t>
      </w:r>
      <w:r>
        <w:t xml:space="preserve"> </w:t>
      </w:r>
      <w:r>
        <w:rPr>
          <w:i/>
        </w:rPr>
        <w:t xml:space="preserve">Languages of Art</w:t>
      </w:r>
      <w:r>
        <w:t xml:space="preserve"> </w:t>
      </w:r>
      <w:r>
        <w:t xml:space="preserve">(2 edition). Indianapolis, Ind.: Hackett Publishing Company, Inc.</w:t>
      </w:r>
    </w:p>
    <w:bookmarkEnd w:id="45"/>
    <w:bookmarkStart w:id="47" w:name="ref-hoffman_monster_1995"/>
    <w:p>
      <w:pPr>
        <w:pStyle w:val="Bibliography"/>
      </w:pPr>
      <w:r>
        <w:t xml:space="preserve">Hoffman, R. R. (1995). Monster Analogies.</w:t>
      </w:r>
      <w:r>
        <w:t xml:space="preserve"> </w:t>
      </w:r>
      <w:r>
        <w:rPr>
          <w:i/>
        </w:rPr>
        <w:t xml:space="preserve">AI Magazine</w:t>
      </w:r>
      <w:r>
        <w:t xml:space="preserve">,</w:t>
      </w:r>
      <w:r>
        <w:t xml:space="preserve"> </w:t>
      </w:r>
      <w:r>
        <w:rPr>
          <w:i/>
        </w:rPr>
        <w:t xml:space="preserve">16</w:t>
      </w:r>
      <w:r>
        <w:t xml:space="preserve">(3), 11–11.</w:t>
      </w:r>
      <w:r>
        <w:t xml:space="preserve"> </w:t>
      </w:r>
      <w:hyperlink r:id="rId46">
        <w:r>
          <w:rPr>
            <w:rStyle w:val="Hyperlink"/>
          </w:rPr>
          <w:t xml:space="preserve">https://doi.org/10.1609/aimag.v16i3.1145</w:t>
        </w:r>
      </w:hyperlink>
    </w:p>
    <w:bookmarkEnd w:id="47"/>
    <w:bookmarkStart w:id="49" w:name="ref-mccarty_network_2002"/>
    <w:p>
      <w:pPr>
        <w:pStyle w:val="Bibliography"/>
      </w:pPr>
      <w:r>
        <w:t xml:space="preserve">McCarty, W. (2002). A Network with a thousand entrances: Commentary in an electronic age?</w:t>
      </w:r>
      <w:r>
        <w:t xml:space="preserve"> </w:t>
      </w:r>
      <w:r>
        <w:rPr>
          <w:i/>
        </w:rPr>
        <w:t xml:space="preserve">The Classical Commentary: Histories, Practices, Theory</w:t>
      </w:r>
      <w:r>
        <w:t xml:space="preserve">, 359–402. Retrieved from</w:t>
      </w:r>
      <w:r>
        <w:t xml:space="preserve"> </w:t>
      </w:r>
      <w:hyperlink r:id="rId48">
        <w:r>
          <w:rPr>
            <w:rStyle w:val="Hyperlink"/>
          </w:rPr>
          <w:t xml:space="preserve">https://kclpure.kcl.ac.uk/portal/en/publications/a-network-with-a-thousand-entrances-commentary-in-an-electronic-age(0eb4f884-133d-4675-95e0-48eb9b333c5f)/export.html</w:t>
        </w:r>
      </w:hyperlink>
    </w:p>
    <w:bookmarkEnd w:id="49"/>
    <w:bookmarkStart w:id="51" w:name="ref-noauthor_minsky_nodate"/>
    <w:p>
      <w:pPr>
        <w:pStyle w:val="Bibliography"/>
      </w:pPr>
      <w:r>
        <w:t xml:space="preserve">Minsky. (n.d.).</w:t>
      </w:r>
      <w:r>
        <w:t xml:space="preserve"> </w:t>
      </w:r>
      <w:r>
        <w:rPr>
          <w:i/>
        </w:rPr>
        <w:t xml:space="preserve">Matter, Mind and Models</w:t>
      </w:r>
      <w:r>
        <w:t xml:space="preserve">. Retrieved from</w:t>
      </w:r>
      <w:r>
        <w:t xml:space="preserve"> </w:t>
      </w:r>
      <w:hyperlink r:id="rId50">
        <w:r>
          <w:rPr>
            <w:rStyle w:val="Hyperlink"/>
          </w:rPr>
          <w:t xml:space="preserve">https://groups.csail.mit.edu/medg/people/doyle/gallery/minsky/mmm.html</w:t>
        </w:r>
      </w:hyperlink>
    </w:p>
    <w:bookmarkEnd w:id="51"/>
    <w:bookmarkStart w:id="53" w:name="ref-mironesco_role_2002"/>
    <w:p>
      <w:pPr>
        <w:pStyle w:val="Bibliography"/>
      </w:pPr>
      <w:r>
        <w:t xml:space="preserve">Mironesco, C. (2002). The Role of Models in Comparative Politics. In R. Franck (Ed.),</w:t>
      </w:r>
      <w:r>
        <w:t xml:space="preserve"> </w:t>
      </w:r>
      <w:r>
        <w:rPr>
          <w:i/>
        </w:rPr>
        <w:t xml:space="preserve">The Explanatory Power of Models: Bridging the Gap between Empirical and Theoretical Research in the Social Sciences</w:t>
      </w:r>
      <w:r>
        <w:t xml:space="preserve"> </w:t>
      </w:r>
      <w:r>
        <w:t xml:space="preserve">(pp. 181–195).</w:t>
      </w:r>
      <w:r>
        <w:t xml:space="preserve"> </w:t>
      </w:r>
      <w:hyperlink r:id="rId52">
        <w:r>
          <w:rPr>
            <w:rStyle w:val="Hyperlink"/>
          </w:rPr>
          <w:t xml:space="preserve">https://doi.org/10.1007/978-1-4020-4676-6_10</w:t>
        </w:r>
      </w:hyperlink>
    </w:p>
    <w:bookmarkEnd w:id="53"/>
    <w:bookmarkStart w:id="54" w:name="ref-morgan_models_1999"/>
    <w:p>
      <w:pPr>
        <w:pStyle w:val="Bibliography"/>
      </w:pPr>
      <w:r>
        <w:t xml:space="preserve">Morgan, M. S., &amp; Morrison, M. (Eds.). (1999).</w:t>
      </w:r>
      <w:r>
        <w:t xml:space="preserve"> </w:t>
      </w:r>
      <w:r>
        <w:rPr>
          <w:i/>
        </w:rPr>
        <w:t xml:space="preserve">Models as Mediators: Perspectives on Natural and Social Science</w:t>
      </w:r>
      <w:r>
        <w:t xml:space="preserve"> </w:t>
      </w:r>
      <w:r>
        <w:t xml:space="preserve">(n edition). Cambridge ; New York: Cambridge University Press.</w:t>
      </w:r>
    </w:p>
    <w:bookmarkEnd w:id="54"/>
    <w:bookmarkStart w:id="55" w:name="ref-polanyi_tacit_1966"/>
    <w:p>
      <w:pPr>
        <w:pStyle w:val="Bibliography"/>
      </w:pPr>
      <w:r>
        <w:t xml:space="preserve">Polanyi, M. (1966).</w:t>
      </w:r>
      <w:r>
        <w:t xml:space="preserve"> </w:t>
      </w:r>
      <w:r>
        <w:rPr>
          <w:i/>
        </w:rPr>
        <w:t xml:space="preserve">The tacit dimension.</w:t>
      </w:r>
      <w:r>
        <w:t xml:space="preserve"> </w:t>
      </w:r>
      <w:r>
        <w:t xml:space="preserve">Garden City, N.Y.: Doubleday.</w:t>
      </w:r>
    </w:p>
    <w:bookmarkEnd w:id="55"/>
    <w:bookmarkStart w:id="56" w:name="ref-smith_limits_1985"/>
    <w:p>
      <w:pPr>
        <w:pStyle w:val="Bibliography"/>
      </w:pPr>
      <w:r>
        <w:t xml:space="preserve">Smith, B. C. (1985). The Limits of Correctness.</w:t>
      </w:r>
      <w:r>
        <w:t xml:space="preserve"> </w:t>
      </w:r>
      <w:r>
        <w:rPr>
          <w:i/>
        </w:rPr>
        <w:t xml:space="preserve">Acm Sigcas Computers and Society</w:t>
      </w:r>
      <w:r>
        <w:t xml:space="preserve">,</w:t>
      </w:r>
      <w:r>
        <w:t xml:space="preserve"> </w:t>
      </w:r>
      <w:r>
        <w:rPr>
          <w:i/>
        </w:rPr>
        <w:t xml:space="preserve">14</w:t>
      </w:r>
      <w:r>
        <w:t xml:space="preserve">(1), 18–26.</w:t>
      </w:r>
    </w:p>
    <w:bookmarkEnd w:id="56"/>
    <w:bookmarkStart w:id="57" w:name="ref-sowa_knowledge_2000"/>
    <w:p>
      <w:pPr>
        <w:pStyle w:val="Bibliography"/>
      </w:pPr>
      <w:r>
        <w:t xml:space="preserve">Sowa, J. F. (2000).</w:t>
      </w:r>
      <w:r>
        <w:t xml:space="preserve"> </w:t>
      </w:r>
      <w:r>
        <w:rPr>
          <w:i/>
        </w:rPr>
        <w:t xml:space="preserve">Knowledge Representation: Logical, Philosophical, and Computational Foundations</w:t>
      </w:r>
      <w:r>
        <w:t xml:space="preserve"> </w:t>
      </w:r>
      <w:r>
        <w:t xml:space="preserve">(1st edition). Pacific Grove: Brooks / Cole.</w:t>
      </w:r>
    </w:p>
    <w:bookmarkEnd w:id="57"/>
    <w:bookmarkStart w:id="58" w:name="ref-dingle_philosophy_1955"/>
    <w:p>
      <w:pPr>
        <w:pStyle w:val="Bibliography"/>
      </w:pPr>
      <w:r>
        <w:t xml:space="preserve">Toulmin, S. (1955). The Philosophy of Science: An Introduction. By Stephen Toulmin. (Hutchinson’s University Library, 1953. Pp. Viii + 176. Price 8s. 6d. Net.).</w:t>
      </w:r>
      <w:r>
        <w:t xml:space="preserve"> </w:t>
      </w:r>
      <w:r>
        <w:rPr>
          <w:i/>
        </w:rPr>
        <w:t xml:space="preserve">Philosophy</w:t>
      </w:r>
      <w:r>
        <w:t xml:space="preserve">,</w:t>
      </w:r>
      <w:r>
        <w:t xml:space="preserve"> </w:t>
      </w:r>
      <w:r>
        <w:rPr>
          <w:i/>
        </w:rPr>
        <w:t xml:space="preserve">30</w:t>
      </w:r>
      <w:r>
        <w:t xml:space="preserve">(112), 78.</w:t>
      </w:r>
    </w:p>
    <w:bookmarkEnd w:id="58"/>
    <w:bookmarkStart w:id="59" w:name="ref-ziman_real_2000"/>
    <w:p>
      <w:pPr>
        <w:pStyle w:val="Bibliography"/>
      </w:pPr>
      <w:r>
        <w:t xml:space="preserve">Ziman, J. M. (2000).</w:t>
      </w:r>
      <w:r>
        <w:t xml:space="preserve"> </w:t>
      </w:r>
      <w:r>
        <w:rPr>
          <w:i/>
        </w:rPr>
        <w:t xml:space="preserve">Real Science: What It is, and What It Means</w:t>
      </w:r>
      <w:r>
        <w:t xml:space="preserve">. Cambridge University Press.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footnote>
  <w:footnote w:id="23">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4">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27">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29">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31">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32">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33">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34">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35">
    <w:p>
      <w:pPr>
        <w:pStyle w:val="FootnoteText"/>
      </w:pPr>
      <w:r>
        <w:rPr>
          <w:rStyle w:val="FootnoteReference"/>
        </w:rPr>
        <w:footnoteRef/>
      </w:r>
      <w:r>
        <w:t xml:space="preserve"> </w:t>
      </w:r>
      <w:r>
        <w:t xml:space="preserve">Winograd and Flores (1986: 97–100, 131–3, 174–7); Dreyfus (1985). See also Brooks (1991).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oxfordscholarship.com/view/10.1093/0198247044.001.0001/acprof-9780198247043" TargetMode="External" /><Relationship Type="http://schemas.openxmlformats.org/officeDocument/2006/relationships/hyperlink" Id="rId52" Target="https://doi.org/10.1007/978-1-4020-4676-6_10" TargetMode="External" /><Relationship Type="http://schemas.openxmlformats.org/officeDocument/2006/relationships/hyperlink" Id="rId46" Target="https://doi.org/10.1609/aimag.v16i3.1145" TargetMode="External" /><Relationship Type="http://schemas.openxmlformats.org/officeDocument/2006/relationships/hyperlink" Id="rId40" Target="https://doi.org/10.5840/monist19998211" TargetMode="External" /><Relationship Type="http://schemas.openxmlformats.org/officeDocument/2006/relationships/hyperlink" Id="rId50" Target="https://groups.csail.mit.edu/medg/people/doyle/gallery/minsky/mmm.html" TargetMode="External" /><Relationship Type="http://schemas.openxmlformats.org/officeDocument/2006/relationships/hyperlink" Id="rId48" Target="https://kclpure.kcl.ac.uk/portal/en/publications/a-network-with-a-thousand-entrances-commentary-in-an-electronic-age(0eb4f884-133d-4675-95e0-48eb9b333c5f)/export.html" TargetMode="External" /><Relationship Type="http://schemas.openxmlformats.org/officeDocument/2006/relationships/hyperlink" Id="rId42" Target="https://www.scholars.northwestern.edu/en/publications/analogy-in-scientific-discovery-the-case-of-johannes-kepler" TargetMode="External" /></Relationships>
</file>

<file path=word/_rels/footnotes.xml.rels><?xml version="1.0" encoding="UTF-8"?>
<Relationships xmlns="http://schemas.openxmlformats.org/package/2006/relationships"><Relationship Type="http://schemas.openxmlformats.org/officeDocument/2006/relationships/hyperlink" Id="rId38" Target="http://www.oxfordscholarship.com/view/10.1093/0198247044.001.0001/acprof-9780198247043" TargetMode="External" /><Relationship Type="http://schemas.openxmlformats.org/officeDocument/2006/relationships/hyperlink" Id="rId52" Target="https://doi.org/10.1007/978-1-4020-4676-6_10" TargetMode="External" /><Relationship Type="http://schemas.openxmlformats.org/officeDocument/2006/relationships/hyperlink" Id="rId46" Target="https://doi.org/10.1609/aimag.v16i3.1145" TargetMode="External" /><Relationship Type="http://schemas.openxmlformats.org/officeDocument/2006/relationships/hyperlink" Id="rId40" Target="https://doi.org/10.5840/monist19998211" TargetMode="External" /><Relationship Type="http://schemas.openxmlformats.org/officeDocument/2006/relationships/hyperlink" Id="rId50" Target="https://groups.csail.mit.edu/medg/people/doyle/gallery/minsky/mmm.html" TargetMode="External" /><Relationship Type="http://schemas.openxmlformats.org/officeDocument/2006/relationships/hyperlink" Id="rId48" Target="https://kclpure.kcl.ac.uk/portal/en/publications/a-network-with-a-thousand-entrances-commentary-in-an-electronic-age(0eb4f884-133d-4675-95e0-48eb9b333c5f)/export.html" TargetMode="External" /><Relationship Type="http://schemas.openxmlformats.org/officeDocument/2006/relationships/hyperlink" Id="rId42" Target="https://www.scholars.northwestern.edu/en/publications/analogy-in-scientific-discovery-the-case-of-johannes-kep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“Modeling: A Study in Words and Meanings”</dc:title>
  <dc:creator>Willard McCarty</dc:creator>
  <cp:keywords/>
  <dcterms:created xsi:type="dcterms:W3CDTF">2019-04-05T22:18:49Z</dcterms:created>
  <dcterms:modified xsi:type="dcterms:W3CDTF">2019-04-05T22:18:49Z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TNT_test.bib</vt:lpwstr>
  </property>
  <property fmtid="{D5CDD505-2E9C-101B-9397-08002B2CF9AE}" pid="3" name="csl">
    <vt:lpwstr>apa.csl</vt:lpwstr>
  </property>
  <property fmtid="{D5CDD505-2E9C-101B-9397-08002B2CF9AE}" pid="4" name="date">
    <vt:lpwstr/>
  </property>
  <property fmtid="{D5CDD505-2E9C-101B-9397-08002B2CF9AE}" pid="5" name="subtitle">
    <vt:lpwstr/>
  </property>
</Properties>
</file>