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20"/>
        </w:rPr>
      </w:pPr>
      <w:bookmarkStart w:colFirst="0" w:colLast="0" w:name="_tgwncn3kfrt3" w:id="0"/>
      <w:bookmarkEnd w:id="0"/>
      <w:r w:rsidDel="00000000" w:rsidR="00000000" w:rsidRPr="00000000">
        <w:rPr>
          <w:b w:val="1"/>
          <w:bCs w:val="1"/>
          <w:color w:val="1d1d20"/>
          <w:rtl w:val="0"/>
        </w:rPr>
        <w:t xml:space="preserve">Цель построения диаграммы: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rPr>
          <w:color w:val="1d1d20"/>
          <w:sz w:val="24"/>
          <w:szCs w:val="24"/>
        </w:rPr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Отобразить ключевые потоки данных между участниками (магазины, курьеры, диспетчеры и др.) и системой доставки на уровне 0 для понимания объема автоматизации и интеграций.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20"/>
        </w:rPr>
      </w:pPr>
      <w:bookmarkStart w:colFirst="0" w:colLast="0" w:name="_crjdwbggpot0" w:id="1"/>
      <w:bookmarkEnd w:id="1"/>
      <w:r w:rsidDel="00000000" w:rsidR="00000000" w:rsidRPr="00000000">
        <w:rPr>
          <w:b w:val="1"/>
          <w:bCs w:val="1"/>
          <w:color w:val="1d1d20"/>
          <w:rtl w:val="0"/>
        </w:rPr>
        <w:t xml:space="preserve">Область рассмотрения: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rPr>
          <w:color w:val="1d1d20"/>
          <w:sz w:val="24"/>
          <w:szCs w:val="24"/>
        </w:rPr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to be (проектируемая система)</w:t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rPr>
          <w:color w:val="1d1d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ind w:left="0" w:firstLine="0"/>
        <w:rPr>
          <w:color w:val="1d1d20"/>
          <w:sz w:val="24"/>
          <w:szCs w:val="24"/>
        </w:rPr>
      </w:pPr>
      <w:r w:rsidDel="00000000" w:rsidR="00000000" w:rsidRPr="00000000">
        <w:rPr>
          <w:color w:val="1d1d20"/>
          <w:sz w:val="24"/>
          <w:szCs w:val="24"/>
        </w:rPr>
        <w:drawing>
          <wp:inline distB="114300" distT="114300" distL="114300" distR="114300">
            <wp:extent cx="5731200" cy="593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