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rPr>
          <w:b/>
        </w:rPr>
        <w:t xml:space="preserve">Timeline for completing cohort- and ancestry-specific analyses and uploading the results for this project</w:t>
      </w:r>
      <w:r>
        <w:t xml:space="preserve"> </w:t>
      </w:r>
      <w:r>
        <w:rPr>
          <w:b/>
        </w:rPr>
        <w:t xml:space="preserve">1 October 2018</w:t>
      </w:r>
      <w:r>
        <w:rPr>
          <w:b/>
        </w:rP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and use the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ec23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2ab8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2018-11-08T21:00:14Z</dcterms:created>
  <dcterms:modified xsi:type="dcterms:W3CDTF">2018-11-08T21:00:14Z</dcterms:modified>
</cp:coreProperties>
</file>