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imputation, build 37 (hg19) positions.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</w:t>
            </w:r>
            <w:r>
              <w:t xml:space="preserve">-10</w:t>
            </w:r>
            <w:r>
              <w:t xml:space="preserve">. The results will be replicated in independent cohorts.</w:t>
            </w:r>
          </w:p>
        </w:tc>
      </w:tr>
    </w:tbl>
    <w:p>
      <w:pPr>
        <w:pStyle w:val="Heading2"/>
      </w:pPr>
      <w:bookmarkStart w:id="31" w:name="uploading-of-results"/>
      <w:bookmarkEnd w:id="31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2" w:name="contact-information"/>
      <w:bookmarkEnd w:id="32"/>
      <w:r>
        <w:t xml:space="preserve">7. Contact information</w:t>
      </w:r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9edf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f0e0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2018-11-10T10:16:41Z</dcterms:created>
  <dcterms:modified xsi:type="dcterms:W3CDTF">2018-11-10T10:16:41Z</dcterms:modified>
</cp:coreProperties>
</file>