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CVD analysis plan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analysis plan for the</w:t>
      </w:r>
      <w:r>
        <w:t xml:space="preserve"> </w:t>
      </w:r>
      <w:r>
        <w:t xml:space="preserve">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pStyle w:val="Compact"/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gwas-results-submission-and-file-formats"/>
      <w:bookmarkEnd w:id="30"/>
      <w:r>
        <w:t xml:space="preserve">5. GWAS results submission and file formats</w:t>
      </w:r>
    </w:p>
    <w:p>
      <w:pPr>
        <w:pStyle w:val="FirstParagraph"/>
      </w:pPr>
      <w:r>
        <w:t xml:space="preserve">SNP table for association results. 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BodyText"/>
      </w:pPr>
      <w:r>
        <w:t xml:space="preserve">Note that due possibly to the large number of proteins for GWAS, some cohorts employed PLINK to expedite analysis in which case one sees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2" w:name="meta-analysis"/>
      <w:bookmarkEnd w:id="32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 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3" w:name="uploading-of-results-data-to-tryggve-server"/>
      <w:bookmarkEnd w:id="33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BodyText"/>
      </w:pPr>
      <w:r>
        <w:t xml:space="preserve">Cambridge, 8/11/2018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edd3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b313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2018-11-08T15:50:31Z</dcterms:created>
  <dcterms:modified xsi:type="dcterms:W3CDTF">2018-11-08T15:50:31Z</dcterms:modified>
</cp:coreProperties>
</file>