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standard linear regression for assays with 80% of samples above the lower detection limit.</w:t>
      </w:r>
    </w:p>
    <w:p>
      <w:pPr>
        <w:pStyle w:val="Compact"/>
        <w:numPr>
          <w:numId w:val="1002"/>
          <w:ilvl w:val="0"/>
        </w:numPr>
      </w:pPr>
      <w:r>
        <w:t xml:space="preserve">Dichotomize proteins with more than 20% of samples below the lower detection limit and code values below the detection limit as 0 and those above as 1.</w:t>
      </w:r>
    </w:p>
    <w:p>
      <w:pPr>
        <w:numPr>
          <w:numId w:val="1002"/>
          <w:ilvl w:val="0"/>
        </w:numPr>
      </w:pPr>
      <w:r>
        <w:t xml:space="preserve">Rank-based inverse normal transformation,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if is preferable to provide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5670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03e8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2018-11-08T16:03:45Z</dcterms:created>
  <dcterms:modified xsi:type="dcterms:W3CDTF">2018-11-08T16:03:45Z</dcterms:modified>
</cp:coreProperties>
</file>