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3"/>
          <w:ilvl w:val="0"/>
        </w:numPr>
      </w:pPr>
      <w:r>
        <w:t xml:space="preserve">Additive genetic model</w:t>
      </w:r>
    </w:p>
    <w:p>
      <w:pPr>
        <w:numPr>
          <w:numId w:val="1003"/>
          <w:ilvl w:val="0"/>
        </w:numPr>
      </w:pPr>
      <w:r>
        <w:t xml:space="preserve">For case-control data, patients and controls are analysed separately – results will be merged at meta-analysis stage</w:t>
      </w:r>
    </w:p>
    <w:p>
      <w:pPr>
        <w:pStyle w:val="Heading3"/>
      </w:pPr>
      <w:bookmarkStart w:id="27" w:name="software"/>
      <w:bookmarkEnd w:id="27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bookmarkEnd w:id="28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4"/>
          <w:ilvl w:val="0"/>
        </w:numPr>
      </w:pPr>
      <w:r>
        <w:t xml:space="preserve">STUDY.descriptives.DATE.xls</w:t>
      </w:r>
    </w:p>
    <w:p>
      <w:pPr>
        <w:pStyle w:val="Compact"/>
        <w:numPr>
          <w:numId w:val="1004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4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29" w:name="file-formats-for-gwas-results"/>
      <w:bookmarkEnd w:id="29"/>
      <w:r>
        <w:t xml:space="preserve">4. File formats for GWAS results</w:t>
      </w:r>
    </w:p>
    <w:p>
      <w:pPr>
        <w:pStyle w:val="Heading3"/>
      </w:pPr>
      <w:bookmarkStart w:id="30" w:name="snp-table-for-gwas-results"/>
      <w:bookmarkEnd w:id="30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bookmarkEnd w:id="31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2" w:name="notes-on-plink"/>
      <w:bookmarkEnd w:id="32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3" w:name="meta-analysis"/>
      <w:bookmarkEnd w:id="33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Significance</w:t>
      </w:r>
      <w:r>
        <w:t xml:space="preserve">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4" w:name="uploading-of-results"/>
      <w:bookmarkEnd w:id="34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5" w:name="contact-information"/>
      <w:bookmarkEnd w:id="35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136d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0bfe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2018-11-09T07:51:20Z</dcterms:created>
  <dcterms:modified xsi:type="dcterms:W3CDTF">2018-11-09T07:51:20Z</dcterms:modified>
</cp:coreProperties>
</file>