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stage. Please do not apply these filters yourself and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GC). Please do not apply GC to GWAS results and provide uncorrected standard errors, as (double) GC will be applied at the meta-analysis stage.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 so no need for additional correction.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If you have any questions about SCALLOP, please contact Anders Malarstig at anders.malarstig@ki.se. For technical issues regarding TRYGGVE, please contact Lasse Folkersen (lasfol@cbs.dtu.dk.</w:t>
      </w:r>
    </w:p>
    <w:p>
      <w:pPr>
        <w:pStyle w:val="BodyText"/>
      </w:pPr>
      <w:r>
        <w:t xml:space="preserve">For questions regarding SCALLOP/INF, please contact Jing Hua Zhao via jhz22@medschl.cam.ac.uk and James Peters via jp549@medschl.cam.ac.uk.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47ac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aea3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2018-11-08T17:55:07Z</dcterms:created>
  <dcterms:modified xsi:type="dcterms:W3CDTF">2018-11-08T17:55:07Z</dcterms:modified>
</cp:coreProperties>
</file>