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CVD analysis plan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analysis plan for the</w:t>
      </w:r>
      <w:r>
        <w:t xml:space="preserve"> </w:t>
      </w:r>
      <w:r>
        <w:t xml:space="preserve">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standard linear regression for assays with 80% of samples above the lower detection limit.</w:t>
      </w:r>
    </w:p>
    <w:p>
      <w:pPr>
        <w:pStyle w:val="Compact"/>
        <w:numPr>
          <w:numId w:val="1002"/>
          <w:ilvl w:val="0"/>
        </w:numPr>
      </w:pPr>
      <w:r>
        <w:t xml:space="preserve">Dichotomize proteins with more than 20% of samples below the lower detection limit and code values below the detection limit as 0 and those above as 1.</w:t>
      </w:r>
    </w:p>
    <w:p>
      <w:pPr>
        <w:pStyle w:val="Compact"/>
        <w:numPr>
          <w:numId w:val="1002"/>
          <w:ilvl w:val="0"/>
        </w:numPr>
      </w:pPr>
      <w:r>
        <w:t xml:space="preserve">Rank-based inverse normal transformation, e.g., invnormal function from https://github.com/jinghuazhao/R/tree/master/gap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gwas-results-submission-and-file-formats"/>
      <w:bookmarkEnd w:id="30"/>
      <w:r>
        <w:t xml:space="preserve">5. GWAS results submission and file formats</w:t>
      </w:r>
    </w:p>
    <w:p>
      <w:pPr>
        <w:pStyle w:val="FirstParagraph"/>
      </w:pPr>
      <w:r>
        <w:t xml:space="preserve">SNP table for association results. 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BodyText"/>
      </w:pPr>
      <w:r>
        <w:t xml:space="preserve">File-naming convention: it is recommended to use format STUDY_inf1_protein_UnitProtID_date.gz.</w:t>
      </w:r>
    </w:p>
    <w:p>
      <w:pPr>
        <w:pStyle w:val="BodyText"/>
      </w:pPr>
      <w:r>
        <w:t xml:space="preserve">Note that due possibly to the large number of proteins for GWAS, some cohorts employed PLINK to expedite analysis in which case one sees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if is preferable to provide strand, effect allele, effect allele frequency, and the information measures.</w:t>
      </w:r>
    </w:p>
    <w:p>
      <w:pPr>
        <w:pStyle w:val="Heading2"/>
      </w:pPr>
      <w:bookmarkStart w:id="31" w:name="meta-analysis"/>
      <w:bookmarkEnd w:id="31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 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BodyText"/>
      </w:pPr>
      <w:r>
        <w:rPr>
          <w:i/>
        </w:rPr>
        <w:t xml:space="preserve">. Marker exclusion filters: we will apply imputation quality filters at the meta-analysis stage. Please do not apply these filters yourself and provide unfiltered results.</w:t>
      </w:r>
      <w:r>
        <w:rPr>
          <w:i/>
        </w:rPr>
        <w:t xml:space="preserve"> </w:t>
      </w:r>
      <w:r>
        <w:t xml:space="preserve">. Genomic control (GC): genomic control will be applied to each study at the meta-analysis stage (single GC). Please do not apply GC to GWAS results and provide uncorrected standard errors, as (double) GC will be applied at the meta-analysis stage.</w:t>
      </w:r>
      <w:r>
        <w:t xml:space="preserve"> </w:t>
      </w:r>
      <w:r>
        <w:t xml:space="preserve">*. Significance: the threshold for the genome-wide analyses will be set at 5 x 10</w:t>
      </w:r>
      <w:r>
        <w:t xml:space="preserve">-8</w:t>
      </w:r>
      <w:r>
        <w:t xml:space="preserve">. The results will be replicated in independent cohorts so no need for additional correction.</w:t>
      </w:r>
    </w:p>
    <w:p>
      <w:pPr>
        <w:pStyle w:val="BodyText"/>
      </w:pPr>
      <w:r>
        <w:t xml:space="preserve">If you have any questions, please contact Jing Hua Zhao via jhz22@medschl.cam.ac.uk or James Peters at jp549@medschl.cam.ac.uk.</w:t>
      </w:r>
    </w:p>
    <w:p>
      <w:pPr>
        <w:pStyle w:val="Heading2"/>
      </w:pPr>
      <w:bookmarkStart w:id="32" w:name="uploading-of-results-data-to-tryggve-server"/>
      <w:bookmarkEnd w:id="32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p>
      <w:pPr>
        <w:pStyle w:val="BodyText"/>
      </w:pPr>
      <w:r>
        <w:t xml:space="preserve">Cambridge, 8/11/2018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e846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f5f1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2018-11-08T15:49:24Z</dcterms:created>
  <dcterms:modified xsi:type="dcterms:W3CDTF">2018-11-08T15:49:24Z</dcterms:modified>
</cp:coreProperties>
</file>