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data Olink CVD1 panel from participating cohorts and</w:t>
      </w:r>
      <w:r>
        <w:t xml:space="preserve"> </w:t>
      </w:r>
      <w:r>
        <w:t xml:space="preserve">consequent contributions have been made on Olink INF panel. This document follows closely the SCALLOP/CVD1 analysis plan for the analysis, and in particular highlights</w:t>
      </w:r>
      <w:r>
        <w:t xml:space="preserve"> </w:t>
      </w:r>
      <w:r>
        <w:t xml:space="preserve">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required to take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once for a cohort rather than from phenotype-genotype regression through software such as SNPTEST. SNP and sample based statistics can</w:t>
      </w:r>
      <w:r>
        <w:t xml:space="preserve"> </w:t>
      </w:r>
      <w:r>
        <w:t xml:space="preserve">be greatly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fccb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093a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2018-11-09T06:59:13Z</dcterms:created>
  <dcterms:modified xsi:type="dcterms:W3CDTF">2018-11-09T06:59:13Z</dcterms:modified>
</cp:coreProperties>
</file>