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 panela</w:t>
      </w:r>
      <w:r>
        <w:t xml:space="preserve"> </w:t>
      </w:r>
      <w:r>
        <w:t xml:space="preserve">from participating cohorts and consequent contributions have been made on Olink INF panel. This document therefore follows closely the SCALLOP/CVD analysis</w:t>
      </w:r>
      <w:r>
        <w:t xml:space="preserve"> </w:t>
      </w:r>
      <w:r>
        <w:t xml:space="preserve">plan for the analysis, with highlight of relevant information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multiple linear regression for all samples and raw measurements from assays</w:t>
      </w:r>
    </w:p>
    <w:p>
      <w:pPr>
        <w:numPr>
          <w:numId w:val="1002"/>
          <w:ilvl w:val="0"/>
        </w:numPr>
      </w:pPr>
      <w:r>
        <w:t xml:space="preserve">Rank-based inverse normal transformation on the residuals, e.g., invnormal 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STUDY_inf1_protein_UnitProtID_date.gz.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in which case one may see the following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CHI2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if is preferable to provide strand, effect allele, effect allele frequency, and the information measures.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BodyText"/>
      </w:pPr>
      <w:r>
        <w:rPr>
          <w:i/>
        </w:rPr>
        <w:t xml:space="preserve">. Marker exclusion filters: we will apply imputation quality filters at the meta-analysis stage. Please do not apply these filters yourself and provide unfiltered results.</w:t>
      </w:r>
      <w:r>
        <w:rPr>
          <w:i/>
        </w:rPr>
        <w:t xml:space="preserve"> </w:t>
      </w:r>
      <w:r>
        <w:t xml:space="preserve">. Genomic control (GC): genomic control will be applied to each study at the meta-analysis stage (single GC). Please do not apply GC to GWAS results and provide uncorrected standard errors, as (double) GC will be applied at the meta-analysis stage.</w:t>
      </w:r>
      <w:r>
        <w:t xml:space="preserve"> </w:t>
      </w:r>
      <w:r>
        <w:t xml:space="preserve">*. Significance: the threshold for the genome-wide analyses will be set at 5 x 10</w:t>
      </w:r>
      <w:r>
        <w:t xml:space="preserve">-8</w:t>
      </w:r>
      <w:r>
        <w:t xml:space="preserve">. The results will be replicated in independent cohorts so no need for additional correction.</w:t>
      </w:r>
    </w:p>
    <w:p>
      <w:pPr>
        <w:pStyle w:val="BodyText"/>
      </w:pPr>
      <w:r>
        <w:t xml:space="preserve">If you have any questions, please contact Jing Hua Zhao via jhz22@medschl.cam.ac.uk or James Peters at jp549@medschl.cam.ac.uk.</w:t>
      </w:r>
    </w:p>
    <w:p>
      <w:pPr>
        <w:pStyle w:val="Heading2"/>
      </w:pPr>
      <w:bookmarkStart w:id="35" w:name="uploading-of-results-data-to-tryggve-server"/>
      <w:bookmarkEnd w:id="35"/>
      <w:r>
        <w:t xml:space="preserve">7. Uploading of results data to TRYGGVE server</w:t>
      </w:r>
    </w:p>
    <w:p>
      <w:pPr>
        <w:pStyle w:val="FirstParagraph"/>
      </w:pPr>
      <w:r>
        <w:t xml:space="preserve">See CVD analysis plan.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7abb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2720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2018-11-08T16:07:10Z</dcterms:created>
  <dcterms:modified xsi:type="dcterms:W3CDTF">2018-11-08T16:07:10Z</dcterms:modified>
</cp:coreProperties>
</file>