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multiple linear regression for all samples and raw measurements from assays</w:t>
      </w:r>
    </w:p>
    <w:p>
      <w:pPr>
        <w:numPr>
          <w:numId w:val="1002"/>
          <w:ilvl w:val="0"/>
        </w:numPr>
      </w:pPr>
      <w:r>
        <w:t xml:space="preserve">Rank-based inverse normal transformation on the residuals,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in which case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CHI2/STAT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7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7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7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-data-to-tryggve-server"/>
      <w:bookmarkEnd w:id="35"/>
      <w:r>
        <w:t xml:space="preserve">7. Uploading of results data to TRYGGVE server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12a1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07fd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2018-11-08T18:38:17Z</dcterms:created>
  <dcterms:modified xsi:type="dcterms:W3CDTF">2018-11-08T18:38:17Z</dcterms:modified>
</cp:coreProperties>
</file>