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w:t>
      </w:r>
      <w:r w:rsidR="00573307">
        <w:t>pQTL on Olink/</w:t>
      </w:r>
      <w:r w:rsidR="00BC32AC">
        <w:t>inflammation</w:t>
      </w:r>
      <w:r w:rsidR="001C45FF">
        <w:t xml:space="preserve"> </w:t>
      </w:r>
      <w:r w:rsidR="00395F5E">
        <w:t>panel</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A60CCC">
        <w:rPr>
          <w:rFonts w:asciiTheme="majorHAnsi" w:hAnsiTheme="majorHAnsi"/>
          <w:b/>
          <w:i/>
        </w:rPr>
        <w:t>30</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w:t>
      </w:r>
      <w:r w:rsidR="0026581B">
        <w:rPr>
          <w:rFonts w:asciiTheme="majorHAnsi" w:hAnsiTheme="majorHAnsi"/>
        </w:rPr>
        <w:t xml:space="preserve">the </w:t>
      </w:r>
      <w:r w:rsidR="006743D4">
        <w:rPr>
          <w:rFonts w:asciiTheme="majorHAnsi" w:hAnsiTheme="majorHAnsi"/>
        </w:rPr>
        <w:t>v</w:t>
      </w:r>
      <w:r w:rsidR="000F2733">
        <w:rPr>
          <w:rFonts w:asciiTheme="majorHAnsi" w:hAnsiTheme="majorHAnsi"/>
        </w:rPr>
        <w:t xml:space="preserve">ital role of </w:t>
      </w:r>
      <w:r w:rsidR="00B829B6">
        <w:rPr>
          <w:rFonts w:asciiTheme="majorHAnsi" w:hAnsiTheme="majorHAnsi"/>
        </w:rPr>
        <w:t>i</w:t>
      </w:r>
      <w:r w:rsidR="000F2733" w:rsidRPr="0098622B">
        <w:rPr>
          <w:rFonts w:asciiTheme="majorHAnsi" w:hAnsiTheme="majorHAnsi"/>
        </w:rPr>
        <w:t xml:space="preserve">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removal of harmful stimuli</w:t>
      </w:r>
      <w:r w:rsidR="006460E3">
        <w:rPr>
          <w:rFonts w:asciiTheme="majorHAnsi" w:hAnsiTheme="majorHAnsi"/>
        </w:rPr>
        <w:t xml:space="preserve"> and</w:t>
      </w:r>
      <w:r w:rsidR="0098622B" w:rsidRPr="0098622B">
        <w:rPr>
          <w:rFonts w:asciiTheme="majorHAnsi" w:hAnsiTheme="majorHAnsi"/>
        </w:rPr>
        <w:t xml:space="preserv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A60CCC">
        <w:rPr>
          <w:rFonts w:asciiTheme="majorHAnsi" w:hAnsiTheme="majorHAnsi"/>
        </w:rPr>
        <w:t>which include</w:t>
      </w:r>
      <w:r w:rsidR="00165E7E">
        <w:rPr>
          <w:rFonts w:asciiTheme="majorHAnsi" w:hAnsiTheme="majorHAnsi"/>
        </w:rPr>
        <w:t xml:space="preserve">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w:t>
      </w:r>
      <w:r w:rsidR="00B829B6">
        <w:rPr>
          <w:rFonts w:asciiTheme="majorHAnsi" w:hAnsiTheme="majorHAnsi"/>
        </w:rPr>
        <w:t xml:space="preserve">greater </w:t>
      </w:r>
      <w:r w:rsidR="007C4E31">
        <w:rPr>
          <w:rFonts w:asciiTheme="majorHAnsi" w:hAnsiTheme="majorHAnsi"/>
        </w:rPr>
        <w:t xml:space="preserve">insight into these,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w:t>
      </w:r>
      <w:r w:rsidR="0006160F">
        <w:rPr>
          <w:rFonts w:asciiTheme="majorHAnsi" w:hAnsiTheme="majorHAnsi"/>
        </w:rPr>
        <w:t>ion</w:t>
      </w:r>
      <w:r w:rsidR="00646672">
        <w:rPr>
          <w:rFonts w:asciiTheme="majorHAnsi" w:hAnsiTheme="majorHAnsi"/>
        </w:rPr>
        <w:t xml:space="preserve"> here</w:t>
      </w:r>
      <w:r w:rsidR="00385396">
        <w:rPr>
          <w:rFonts w:asciiTheme="majorHAnsi" w:hAnsiTheme="majorHAnsi"/>
        </w:rPr>
        <w:t xml:space="preserve">. </w:t>
      </w:r>
    </w:p>
    <w:p w:rsidR="00637AA0" w:rsidRPr="001B5B3A" w:rsidRDefault="00FD1EA5" w:rsidP="00637AA0">
      <w:pPr>
        <w:pStyle w:val="FirstParagraph"/>
        <w:rPr>
          <w:rFonts w:asciiTheme="majorHAnsi" w:hAnsiTheme="majorHAnsi"/>
        </w:rPr>
      </w:pPr>
      <w:r>
        <w:rPr>
          <w:rFonts w:asciiTheme="majorHAnsi" w:hAnsiTheme="majorHAnsi"/>
        </w:rPr>
        <w:t>W</w:t>
      </w:r>
      <w:r w:rsidR="009A5345">
        <w:rPr>
          <w:rFonts w:asciiTheme="majorHAnsi" w:hAnsiTheme="majorHAnsi"/>
        </w:rPr>
        <w:t xml:space="preserve">e </w:t>
      </w:r>
      <w:r w:rsidR="00394BA3">
        <w:rPr>
          <w:rFonts w:asciiTheme="majorHAnsi" w:hAnsiTheme="majorHAnsi"/>
        </w:rPr>
        <w:t xml:space="preserve">employed </w:t>
      </w:r>
      <w:r>
        <w:rPr>
          <w:rFonts w:asciiTheme="majorHAnsi" w:hAnsiTheme="majorHAnsi"/>
        </w:rPr>
        <w:t xml:space="preserve">the hugely successful </w:t>
      </w:r>
      <w:r w:rsidR="009A5345">
        <w:rPr>
          <w:rFonts w:asciiTheme="majorHAnsi" w:hAnsiTheme="majorHAnsi"/>
        </w:rPr>
        <w:t xml:space="preserve">design </w:t>
      </w:r>
      <w:r>
        <w:rPr>
          <w:rFonts w:asciiTheme="majorHAnsi" w:hAnsiTheme="majorHAnsi"/>
        </w:rPr>
        <w:t xml:space="preserve">of </w:t>
      </w:r>
      <w:r w:rsidR="0006160F" w:rsidRPr="001B5B3A">
        <w:rPr>
          <w:rFonts w:asciiTheme="majorHAnsi" w:hAnsiTheme="majorHAnsi"/>
        </w:rPr>
        <w:t>assembl</w:t>
      </w:r>
      <w:r w:rsidR="0006160F">
        <w:rPr>
          <w:rFonts w:asciiTheme="majorHAnsi" w:hAnsiTheme="majorHAnsi"/>
        </w:rPr>
        <w:t>ing</w:t>
      </w:r>
      <w:r w:rsidR="0006160F" w:rsidRPr="001B5B3A">
        <w:rPr>
          <w:rFonts w:asciiTheme="majorHAnsi" w:hAnsiTheme="majorHAnsi"/>
        </w:rPr>
        <w:t xml:space="preserve"> data from protein-wide genomic studies (</w:t>
      </w:r>
      <w:r w:rsidR="0006160F">
        <w:rPr>
          <w:rFonts w:asciiTheme="majorHAnsi" w:hAnsiTheme="majorHAnsi"/>
        </w:rPr>
        <w:t>p</w:t>
      </w:r>
      <w:r w:rsidR="0006160F" w:rsidRPr="001B5B3A">
        <w:rPr>
          <w:rFonts w:asciiTheme="majorHAnsi" w:hAnsiTheme="majorHAnsi"/>
        </w:rPr>
        <w:t>GWAS)</w:t>
      </w:r>
      <w:r w:rsidR="0006160F">
        <w:rPr>
          <w:rFonts w:asciiTheme="majorHAnsi" w:hAnsiTheme="majorHAnsi"/>
        </w:rPr>
        <w:t xml:space="preserve"> </w:t>
      </w:r>
      <w:r w:rsidR="0006160F">
        <w:rPr>
          <w:rFonts w:asciiTheme="majorHAnsi" w:hAnsiTheme="majorHAnsi"/>
        </w:rPr>
        <w:t xml:space="preserve">in </w:t>
      </w:r>
      <w:r w:rsidR="009A5345" w:rsidRPr="001B5B3A">
        <w:rPr>
          <w:rFonts w:asciiTheme="majorHAnsi" w:hAnsiTheme="majorHAnsi"/>
        </w:rPr>
        <w:t xml:space="preserve">the SCAndinavian coLLaboration for Olink plasma Protein genetics (SCALLOP) consortium, including </w:t>
      </w:r>
      <w:r w:rsidR="009A5345">
        <w:rPr>
          <w:rFonts w:asciiTheme="majorHAnsi" w:hAnsiTheme="majorHAnsi"/>
        </w:rPr>
        <w:t xml:space="preserve">a study of </w:t>
      </w:r>
      <w:r w:rsidR="009A5345"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Pr>
          <w:rFonts w:asciiTheme="majorHAnsi" w:hAnsiTheme="majorHAnsi"/>
        </w:rPr>
        <w:t xml:space="preserve"> </w:t>
      </w:r>
      <w:r>
        <w:rPr>
          <w:rFonts w:asciiTheme="majorHAnsi" w:hAnsiTheme="majorHAnsi"/>
        </w:rPr>
        <w:t xml:space="preserve">for protein </w:t>
      </w:r>
      <w:r w:rsidRPr="001B5B3A">
        <w:rPr>
          <w:rFonts w:asciiTheme="majorHAnsi" w:hAnsiTheme="majorHAnsi"/>
        </w:rPr>
        <w:t>quantitative trait loci (pQTLs)</w:t>
      </w:r>
      <w:r>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2C7D5F">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2C7D5F">
        <w:rPr>
          <w:rFonts w:asciiTheme="majorHAnsi" w:hAnsiTheme="majorHAnsi"/>
        </w:rPr>
        <w:t xml:space="preserve">conducted comprehensive </w:t>
      </w:r>
      <w:r w:rsidR="002C7D5F">
        <w:rPr>
          <w:rFonts w:asciiTheme="majorHAnsi" w:hAnsiTheme="majorHAnsi"/>
          <w:i/>
        </w:rPr>
        <w:t xml:space="preserve">in silico </w:t>
      </w:r>
      <w:r w:rsidR="002C7D5F">
        <w:rPr>
          <w:rFonts w:asciiTheme="majorHAnsi" w:hAnsiTheme="majorHAnsi"/>
        </w:rPr>
        <w:t xml:space="preserve">experiments leading to identification of </w:t>
      </w:r>
      <w:r w:rsidR="00D61242" w:rsidRPr="001B5B3A">
        <w:rPr>
          <w:rFonts w:asciiTheme="majorHAnsi" w:hAnsiTheme="majorHAnsi"/>
        </w:rPr>
        <w:t xml:space="preserve">pQTLs, </w:t>
      </w:r>
      <w:r w:rsidR="00A8435E">
        <w:rPr>
          <w:rFonts w:asciiTheme="majorHAnsi" w:hAnsiTheme="majorHAnsi"/>
        </w:rPr>
        <w:t xml:space="preserve">and </w:t>
      </w:r>
      <w:r w:rsidR="00E43B78">
        <w:rPr>
          <w:rFonts w:asciiTheme="majorHAnsi" w:hAnsiTheme="majorHAnsi"/>
        </w:rPr>
        <w:t xml:space="preserve">followed by </w:t>
      </w:r>
      <w:r w:rsidR="00D61242" w:rsidRPr="001B5B3A">
        <w:rPr>
          <w:rFonts w:asciiTheme="majorHAnsi" w:hAnsiTheme="majorHAnsi"/>
        </w:rPr>
        <w:t xml:space="preserve">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FF1C91">
        <w:rPr>
          <w:rFonts w:asciiTheme="majorHAnsi" w:hAnsiTheme="majorHAnsi"/>
        </w:rPr>
        <w:t>colo</w:t>
      </w:r>
      <w:r w:rsidR="00A01E03">
        <w:rPr>
          <w:rFonts w:asciiTheme="majorHAnsi" w:hAnsiTheme="majorHAnsi"/>
        </w:rPr>
        <w:t>ca</w:t>
      </w:r>
      <w:r w:rsidR="00FF1C91">
        <w:rPr>
          <w:rFonts w:asciiTheme="majorHAnsi" w:hAnsiTheme="majorHAnsi"/>
        </w:rPr>
        <w:t xml:space="preserve">lisation with gene expression as well as assessment of the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w:t>
      </w:r>
      <w:bookmarkStart w:id="2" w:name="_GoBack"/>
      <w:bookmarkEnd w:id="2"/>
      <w:r w:rsidR="00902CE7" w:rsidRPr="001B5B3A">
        <w:rPr>
          <w:rFonts w:asciiTheme="majorHAnsi" w:hAnsiTheme="majorHAnsi"/>
        </w:rPr>
        <w:t>e outcomes such as CHD</w:t>
      </w:r>
      <w:r w:rsidR="00CC7E32">
        <w:rPr>
          <w:rFonts w:asciiTheme="majorHAnsi" w:hAnsiTheme="majorHAnsi"/>
        </w:rPr>
        <w:t xml:space="preserve"> through Mendelian randomization (MR)</w:t>
      </w:r>
      <w:r w:rsidR="00FC5E08" w:rsidRPr="001B5B3A">
        <w:rPr>
          <w:rFonts w:asciiTheme="majorHAnsi" w:hAnsiTheme="majorHAnsi"/>
        </w:rPr>
        <w:t>.</w:t>
      </w:r>
      <w:r w:rsidR="00FA6F91">
        <w:rPr>
          <w:rFonts w:asciiTheme="majorHAnsi" w:hAnsiTheme="majorHAnsi"/>
        </w:rPr>
        <w:t xml:space="preserve"> </w:t>
      </w:r>
      <w:r w:rsidR="003E617E">
        <w:rPr>
          <w:rFonts w:asciiTheme="majorHAnsi" w:hAnsiTheme="majorHAnsi"/>
        </w:rPr>
        <w:t xml:space="preserve">We have made our implementation widely available. </w:t>
      </w:r>
      <w:r w:rsidR="00FA6F91">
        <w:rPr>
          <w:rFonts w:asciiTheme="majorHAnsi" w:hAnsiTheme="majorHAnsi"/>
        </w:rPr>
        <w:t xml:space="preserve">Our </w:t>
      </w:r>
      <w:r w:rsidR="00FE6ED2">
        <w:rPr>
          <w:rFonts w:asciiTheme="majorHAnsi" w:hAnsiTheme="majorHAnsi"/>
        </w:rPr>
        <w:t xml:space="preserve">approaches and </w:t>
      </w:r>
      <w:r w:rsidR="00542DA0">
        <w:rPr>
          <w:rFonts w:asciiTheme="majorHAnsi" w:hAnsiTheme="majorHAnsi"/>
        </w:rPr>
        <w:t>findings</w:t>
      </w:r>
      <w:r w:rsidR="00FA6F91">
        <w:rPr>
          <w:rFonts w:asciiTheme="majorHAnsi" w:hAnsiTheme="majorHAnsi"/>
        </w:rPr>
        <w:t xml:space="preserve"> </w:t>
      </w:r>
      <w:r w:rsidR="00E43B78">
        <w:rPr>
          <w:rFonts w:asciiTheme="majorHAnsi" w:hAnsiTheme="majorHAnsi"/>
        </w:rPr>
        <w:t xml:space="preserve">should </w:t>
      </w:r>
      <w:r w:rsidR="00FA6F91">
        <w:rPr>
          <w:rFonts w:asciiTheme="majorHAnsi" w:hAnsiTheme="majorHAnsi"/>
        </w:rPr>
        <w:t xml:space="preserve">contribute to </w:t>
      </w:r>
      <w:r w:rsidR="005D7628">
        <w:rPr>
          <w:rFonts w:asciiTheme="majorHAnsi" w:hAnsiTheme="majorHAnsi"/>
        </w:rPr>
        <w:t>a</w:t>
      </w:r>
      <w:r w:rsidR="00FA6F91">
        <w:rPr>
          <w:rFonts w:asciiTheme="majorHAnsi" w:hAnsiTheme="majorHAnsi"/>
        </w:rPr>
        <w:t xml:space="preserve"> </w:t>
      </w:r>
      <w:r w:rsidR="005D7628">
        <w:rPr>
          <w:rFonts w:asciiTheme="majorHAnsi" w:hAnsiTheme="majorHAnsi"/>
        </w:rPr>
        <w:t xml:space="preserve">greater </w:t>
      </w:r>
      <w:r w:rsidR="00FA6F91">
        <w:rPr>
          <w:rFonts w:asciiTheme="majorHAnsi" w:hAnsiTheme="majorHAnsi"/>
        </w:rPr>
        <w:t xml:space="preserve">understanding </w:t>
      </w:r>
      <w:r w:rsidR="006F641C">
        <w:rPr>
          <w:rFonts w:asciiTheme="majorHAnsi" w:hAnsiTheme="majorHAnsi"/>
        </w:rPr>
        <w:t xml:space="preserve">of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3"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A18D6" w:rsidRDefault="004A32AE" w:rsidP="001705D7">
      <w:pPr>
        <w:pStyle w:val="BodyText"/>
      </w:pPr>
      <w:r>
        <w:rPr>
          <w:b/>
        </w:rPr>
        <w:t>Genomic heritability and v</w:t>
      </w:r>
      <w:r w:rsidR="001705D7">
        <w:rPr>
          <w:b/>
        </w:rPr>
        <w:t>ariance e</w:t>
      </w:r>
      <w:r w:rsidR="006A18D6">
        <w:rPr>
          <w:b/>
        </w:rPr>
        <w:t>xplained</w:t>
      </w:r>
    </w:p>
    <w:p w:rsidR="006C24AA" w:rsidRDefault="00B40E33" w:rsidP="001705D7">
      <w:pPr>
        <w:pStyle w:val="BodyText"/>
        <w:rPr>
          <w:rFonts w:asciiTheme="majorHAnsi" w:hAnsiTheme="majorHAnsi"/>
        </w:rPr>
      </w:pPr>
      <w:r>
        <w:t>Shown in Figure 2 are the g</w:t>
      </w:r>
      <w:r w:rsidR="006A18D6">
        <w:t>enomic heritabilit</w:t>
      </w:r>
      <w:r>
        <w:t xml:space="preserve">ies </w:t>
      </w:r>
      <w:r w:rsidR="006A18D6">
        <w:t>obtained from the INTERVAL study</w:t>
      </w:r>
      <w:r>
        <w:t xml:space="preserve">. </w:t>
      </w:r>
      <w:r>
        <w:rPr>
          <w:rFonts w:asciiTheme="majorHAnsi" w:hAnsiTheme="majorHAnsi"/>
        </w:rPr>
        <w:t>The estimates from INTERVAL study vary from almost zero for AXIN1, etc. to 0.92 for CCL25.</w:t>
      </w:r>
      <w:r>
        <w:rPr>
          <w:rFonts w:asciiTheme="majorHAnsi" w:hAnsiTheme="majorHAnsi"/>
        </w:rPr>
        <w:t xml:space="preserve"> </w:t>
      </w:r>
    </w:p>
    <w:p w:rsidR="006A18D6" w:rsidRDefault="006C24AA" w:rsidP="001705D7">
      <w:pPr>
        <w:pStyle w:val="BodyText"/>
        <w:rPr>
          <w:rFonts w:asciiTheme="majorHAnsi" w:hAnsiTheme="majorHAnsi"/>
        </w:rPr>
      </w:pPr>
      <w:r>
        <w:rPr>
          <w:rFonts w:asciiTheme="majorHAnsi" w:hAnsiTheme="majorHAnsi"/>
        </w:rPr>
        <w:t>Variance explained by the sentinels from the meta-analysis</w:t>
      </w:r>
      <w:r w:rsidR="00B40E33">
        <w:rPr>
          <w:rFonts w:asciiTheme="majorHAnsi" w:hAnsiTheme="majorHAnsi"/>
        </w:rPr>
        <w:t xml:space="preserve"> varies from 0.003 for PD.L1 to 0.172 for CST5. The estimates were based on mixed model with adjustment for sex, age and PC1-PC20.</w:t>
      </w:r>
    </w:p>
    <w:p w:rsidR="00B40E33" w:rsidRDefault="00B40E33" w:rsidP="00B40E33">
      <w:pPr>
        <w:pStyle w:val="BodyText"/>
        <w:rPr>
          <w:rFonts w:asciiTheme="majorHAnsi" w:hAnsiTheme="majorHAnsi"/>
        </w:rPr>
      </w:pPr>
      <w:r>
        <w:rPr>
          <w:rFonts w:asciiTheme="majorHAnsi" w:hAnsiTheme="majorHAnsi"/>
          <w:b/>
        </w:rPr>
        <w:t>Figure 2. Variance explained by SNPs</w:t>
      </w:r>
      <w:r>
        <w:rPr>
          <w:rFonts w:asciiTheme="majorHAnsi" w:hAnsiTheme="majorHAnsi"/>
        </w:rPr>
        <w:t>. (a).</w:t>
      </w:r>
      <w:r>
        <w:rPr>
          <w:rFonts w:asciiTheme="majorHAnsi" w:hAnsiTheme="majorHAnsi"/>
          <w:b/>
        </w:rPr>
        <w:t xml:space="preserve"> genomewide </w:t>
      </w:r>
      <w:r w:rsidRPr="007C46E5">
        <w:rPr>
          <w:rFonts w:asciiTheme="majorHAnsi" w:hAnsiTheme="majorHAnsi"/>
        </w:rPr>
        <w:t>SNP</w:t>
      </w:r>
      <w:r>
        <w:rPr>
          <w:rFonts w:asciiTheme="majorHAnsi" w:hAnsiTheme="majorHAnsi"/>
        </w:rPr>
        <w:t xml:space="preserve">s. (b). </w:t>
      </w:r>
      <w:r>
        <w:rPr>
          <w:rFonts w:asciiTheme="majorHAnsi" w:hAnsiTheme="majorHAnsi"/>
          <w:b/>
        </w:rPr>
        <w:t>sentinel</w:t>
      </w:r>
      <w:r>
        <w:rPr>
          <w:rFonts w:asciiTheme="majorHAnsi" w:hAnsiTheme="majorHAnsi"/>
        </w:rPr>
        <w:t xml:space="preserve"> SNPs. </w:t>
      </w:r>
    </w:p>
    <w:p w:rsidR="00E026C9" w:rsidRDefault="00227913"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CD4E5E" w:rsidRPr="00132828" w:rsidRDefault="00CD4E5E" w:rsidP="00CD4E5E">
      <w:pPr>
        <w:pStyle w:val="BodyText"/>
      </w:pPr>
      <w:r>
        <w:rPr>
          <w:b/>
        </w:rPr>
        <w:lastRenderedPageBreak/>
        <w:t>M</w:t>
      </w:r>
      <w:r w:rsidR="00CD442D">
        <w:rPr>
          <w:b/>
        </w:rPr>
        <w:t>R</w:t>
      </w:r>
    </w:p>
    <w:p w:rsidR="00F55C0A" w:rsidRPr="00F55C0A" w:rsidRDefault="00F55C0A" w:rsidP="00A97C5F">
      <w:pPr>
        <w:pStyle w:val="BodyText"/>
        <w:rPr>
          <w:rFonts w:asciiTheme="majorHAnsi" w:hAnsiTheme="majorHAnsi"/>
        </w:rPr>
      </w:pPr>
      <w:r w:rsidRPr="00F55C0A">
        <w:rPr>
          <w:rFonts w:asciiTheme="majorHAnsi" w:hAnsiTheme="majorHAnsi"/>
        </w:rPr>
        <w:t xml:space="preserve">The </w:t>
      </w:r>
      <w:r>
        <w:rPr>
          <w:rFonts w:asciiTheme="majorHAnsi" w:hAnsiTheme="majorHAnsi"/>
        </w:rPr>
        <w:t>generalised summary-data-based MR through GCTA is shown in Figure 3.</w:t>
      </w:r>
    </w:p>
    <w:p w:rsidR="009A39FA" w:rsidRDefault="009A39FA" w:rsidP="00A97C5F">
      <w:pPr>
        <w:pStyle w:val="BodyText"/>
        <w:rPr>
          <w:rFonts w:asciiTheme="majorHAnsi" w:hAnsiTheme="majorHAnsi"/>
        </w:rPr>
      </w:pPr>
      <w:r>
        <w:rPr>
          <w:rFonts w:asciiTheme="majorHAnsi" w:hAnsiTheme="majorHAnsi"/>
          <w:b/>
        </w:rPr>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35277" w:rsidRPr="00132828" w:rsidRDefault="00C35277" w:rsidP="00C35277">
      <w:pPr>
        <w:pStyle w:val="BodyText"/>
      </w:pPr>
      <w:r w:rsidRPr="0096440F">
        <w:rPr>
          <w:b/>
        </w:rPr>
        <w:t>In</w:t>
      </w:r>
      <w:r>
        <w:rPr>
          <w:b/>
        </w:rPr>
        <w:t>flammation score</w:t>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 xml:space="preserve">as instruments for causal inference through </w:t>
      </w:r>
      <w:r w:rsidR="00FC137D" w:rsidRPr="001B5B3A">
        <w:rPr>
          <w:rFonts w:asciiTheme="majorHAnsi" w:hAnsiTheme="majorHAnsi"/>
        </w:rPr>
        <w:lastRenderedPageBreak/>
        <w:t xml:space="preserve">Mendelian randomization as well as biological pathways. By analogy to polygenic score and protein score (Ganz et al. 2016), an inflammation score </w:t>
      </w:r>
      <w:r w:rsidR="00031F5F">
        <w:rPr>
          <w:rFonts w:asciiTheme="majorHAnsi" w:hAnsiTheme="majorHAnsi"/>
        </w:rPr>
        <w:t xml:space="preserve">are </w:t>
      </w:r>
      <w:r w:rsidR="00FC137D" w:rsidRPr="001B5B3A">
        <w:rPr>
          <w:rFonts w:asciiTheme="majorHAnsi" w:hAnsiTheme="majorHAnsi"/>
        </w:rPr>
        <w:t>also be built.</w:t>
      </w:r>
    </w:p>
    <w:p w:rsidR="00FC137D" w:rsidRPr="001B5B3A" w:rsidRDefault="00FC137D" w:rsidP="00FC137D">
      <w:pPr>
        <w:pStyle w:val="BodyText"/>
        <w:rPr>
          <w:rFonts w:asciiTheme="majorHAnsi" w:hAnsiTheme="majorHAnsi"/>
        </w:rPr>
      </w:pPr>
      <w:r w:rsidRPr="001B5B3A">
        <w:rPr>
          <w:rFonts w:asciiTheme="majorHAnsi" w:hAnsiTheme="majorHAnsi"/>
        </w:rPr>
        <w:t xml:space="preserve">We </w:t>
      </w:r>
      <w:r w:rsidR="00E27BEC">
        <w:rPr>
          <w:rFonts w:asciiTheme="majorHAnsi" w:hAnsiTheme="majorHAnsi"/>
        </w:rPr>
        <w:t>made our code available from the web</w:t>
      </w:r>
      <w:r w:rsidR="008776AF">
        <w:rPr>
          <w:rFonts w:asciiTheme="majorHAnsi" w:hAnsiTheme="majorHAnsi"/>
        </w:rPr>
        <w:t>;</w:t>
      </w:r>
      <w:r w:rsidRPr="001B5B3A">
        <w:rPr>
          <w:rFonts w:asciiTheme="majorHAnsi" w:hAnsiTheme="majorHAnsi"/>
        </w:rPr>
        <w:t xml:space="preserve">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A90C76" w:rsidRPr="00A90C76" w:rsidRDefault="00A90C76" w:rsidP="00A90C76">
      <w:pPr>
        <w:pStyle w:val="BodyText"/>
        <w:rPr>
          <w:lang w:val="en-GB"/>
        </w:rPr>
      </w:pPr>
      <w:r>
        <w:rPr>
          <w:lang w:val="en-GB"/>
        </w:rPr>
        <w:t>Un-truncated values of protein abundance was used.</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lastRenderedPageBreak/>
        <w:t>Meta-analysis</w:t>
      </w:r>
      <w:bookmarkEnd w:id="6"/>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 xml:space="preserve">&lt;30% or in the case of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&gt;=30% all studies should be nominally significant at 0.05 with consistent direction of effects.</w:t>
      </w:r>
      <w:r w:rsidR="004C63F1">
        <w:rPr>
          <w:rFonts w:asciiTheme="majorHAnsi" w:hAnsiTheme="majorHAnsi"/>
        </w:rPr>
        <w:t xml:space="preserve"> Forest plots were generated using customised functions in R</w:t>
      </w:r>
      <w:r w:rsidR="007E42BF">
        <w:rPr>
          <w:rFonts w:asciiTheme="majorHAnsi" w:hAnsiTheme="majorHAnsi"/>
        </w:rPr>
        <w:t xml:space="preserve"> to facilitate the meta-analysis</w:t>
      </w:r>
      <w:r w:rsidR="004C63F1">
        <w:rPr>
          <w:rFonts w:asciiTheme="majorHAnsi" w:hAnsiTheme="majorHAnsi"/>
        </w:rPr>
        <w:t>.</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C67D02" w:rsidP="00F3387F">
      <w:pPr>
        <w:pStyle w:val="BodyText"/>
        <w:rPr>
          <w:rFonts w:asciiTheme="majorHAnsi" w:hAnsiTheme="majorHAnsi"/>
        </w:rPr>
      </w:pPr>
      <w:r>
        <w:rPr>
          <w:rFonts w:asciiTheme="majorHAnsi" w:hAnsiTheme="majorHAnsi"/>
        </w:rPr>
        <w:t xml:space="preserve">As in earlier report, the HLA locus is counted as single variant.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 xml:space="preserve">approximately </w:t>
      </w:r>
      <w:r w:rsidR="00F3387F" w:rsidRPr="001B5B3A">
        <w:rPr>
          <w:rFonts w:asciiTheme="majorHAnsi" w:hAnsiTheme="majorHAnsi"/>
        </w:rPr>
        <w:lastRenderedPageBreak/>
        <w:t>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4C09A5" w:rsidRPr="001B5B3A" w:rsidRDefault="004C09A5" w:rsidP="004C09A5">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w:t>
      </w:r>
      <w:r w:rsidR="00F01535">
        <w:rPr>
          <w:rFonts w:asciiTheme="majorHAnsi" w:hAnsiTheme="majorHAnsi"/>
        </w:rPr>
        <w:t xml:space="preserve">conditional analysis through </w:t>
      </w:r>
      <w:r>
        <w:rPr>
          <w:rFonts w:asciiTheme="majorHAnsi" w:hAnsiTheme="majorHAnsi"/>
        </w:rPr>
        <w:t xml:space="preserve">GCTA </w:t>
      </w:r>
      <w:r w:rsidR="00F01535">
        <w:rPr>
          <w:rFonts w:asciiTheme="majorHAnsi" w:hAnsiTheme="majorHAnsi"/>
        </w:rPr>
        <w:t xml:space="preserve">and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Pr>
          <w:rFonts w:asciiTheme="majorHAnsi" w:hAnsiTheme="majorHAnsi"/>
        </w:rPr>
        <w:t xml:space="preserve">. For each region linking with a sentinel, we obtain independent signals from variants with LD r2 &lt; 0.8 ensuring the sentinel being included. </w:t>
      </w:r>
      <w:r w:rsidR="00B57BBD">
        <w:rPr>
          <w:rFonts w:asciiTheme="majorHAnsi" w:hAnsiTheme="majorHAnsi"/>
        </w:rPr>
        <w:t>This made it feasible to compare results with two a</w:t>
      </w:r>
      <w:r w:rsidR="009A168C">
        <w:rPr>
          <w:rFonts w:asciiTheme="majorHAnsi" w:hAnsiTheme="majorHAnsi"/>
        </w:rPr>
        <w:t>dditional</w:t>
      </w:r>
      <w:r w:rsidR="00B57BBD">
        <w:rPr>
          <w:rFonts w:asciiTheme="majorHAnsi" w:hAnsiTheme="majorHAnsi"/>
        </w:rPr>
        <w:t xml:space="preserve"> software </w:t>
      </w:r>
      <w:r>
        <w:rPr>
          <w:rFonts w:asciiTheme="majorHAnsi" w:hAnsiTheme="majorHAnsi"/>
        </w:rPr>
        <w:t xml:space="preserve">JAM and finemap, with which credible set are built for these variants as a quantitative measure of being causal. </w:t>
      </w:r>
      <w:r w:rsidR="009A168C">
        <w:rPr>
          <w:rFonts w:asciiTheme="majorHAnsi" w:hAnsiTheme="majorHAnsi"/>
        </w:rPr>
        <w:t xml:space="preserve">As this was not available from GCTA, we have implemented an R function for </w:t>
      </w:r>
      <w:r>
        <w:rPr>
          <w:rFonts w:asciiTheme="majorHAnsi" w:hAnsiTheme="majorHAnsi"/>
        </w:rPr>
        <w:t>credible set similar to the gwas-credible-sets JavaScript repository.</w:t>
      </w:r>
    </w:p>
    <w:p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EB08CD" w:rsidRDefault="00465E2C" w:rsidP="00EB08CD">
      <w:pPr>
        <w:pStyle w:val="FirstParagraph"/>
        <w:rPr>
          <w:rFonts w:asciiTheme="majorHAnsi" w:eastAsiaTheme="minorEastAsia" w:hAnsiTheme="majorHAnsi"/>
        </w:rPr>
      </w:pPr>
      <w:r>
        <w:rPr>
          <w:rFonts w:asciiTheme="majorHAnsi" w:hAnsiTheme="majorHAnsi"/>
          <w:b/>
        </w:rPr>
        <w:t xml:space="preserve">Genomic </w:t>
      </w:r>
      <w:r w:rsidR="00EB08CD">
        <w:rPr>
          <w:rFonts w:asciiTheme="majorHAnsi" w:hAnsiTheme="majorHAnsi"/>
          <w:b/>
        </w:rPr>
        <w:t>heritability</w:t>
      </w:r>
      <w:r>
        <w:rPr>
          <w:rFonts w:asciiTheme="majorHAnsi" w:hAnsiTheme="majorHAnsi"/>
          <w:b/>
        </w:rPr>
        <w:t xml:space="preserve"> and variance explained</w:t>
      </w:r>
      <w:r w:rsidR="00EB08CD" w:rsidRPr="008A7C18">
        <w:rPr>
          <w:rFonts w:asciiTheme="majorHAnsi" w:hAnsiTheme="majorHAnsi"/>
        </w:rPr>
        <w:t xml:space="preserve">. </w:t>
      </w:r>
      <w:r w:rsidR="00EB08CD">
        <w:rPr>
          <w:rFonts w:asciiTheme="majorHAnsi" w:hAnsiTheme="majorHAnsi"/>
        </w:rPr>
        <w:t xml:space="preserve">INTERVAL individual level data were used for heritability estimation. Genetic relationship matrix was built on SNPs pruned at r2=0.8 and MAF=0.01, all using PLINK. </w:t>
      </w:r>
      <w:r w:rsidR="00EB08CD" w:rsidRPr="001B5B3A">
        <w:rPr>
          <w:rFonts w:asciiTheme="majorHAnsi" w:hAnsiTheme="majorHAnsi"/>
        </w:rPr>
        <w:t xml:space="preserve">Genomic heritability was </w:t>
      </w:r>
      <w:r w:rsidR="00EB08CD">
        <w:rPr>
          <w:rFonts w:asciiTheme="majorHAnsi" w:hAnsiTheme="majorHAnsi"/>
        </w:rPr>
        <w:t>then estimated</w:t>
      </w:r>
      <w:r w:rsidR="00EB08CD" w:rsidRPr="001B5B3A">
        <w:rPr>
          <w:rFonts w:asciiTheme="majorHAnsi" w:hAnsiTheme="majorHAnsi"/>
        </w:rPr>
        <w:t xml:space="preserve"> with GCTA</w:t>
      </w:r>
      <w:r w:rsidR="00EB08CD">
        <w:rPr>
          <w:rFonts w:asciiTheme="majorHAnsi" w:hAnsiTheme="majorHAnsi"/>
        </w:rPr>
        <w:t xml:space="preserve"> with adjustment for age, sex and PC1-PC20</w:t>
      </w:r>
      <w:r w:rsidR="00EB08CD" w:rsidRPr="001B5B3A">
        <w:rPr>
          <w:rFonts w:asciiTheme="majorHAnsi" w:hAnsiTheme="majorHAnsi"/>
        </w:rPr>
        <w:t xml:space="preserve">. Variants explained </w:t>
      </w:r>
      <w:r w:rsidR="00EB08CD">
        <w:rPr>
          <w:rFonts w:asciiTheme="majorHAnsi" w:hAnsiTheme="majorHAnsi"/>
        </w:rPr>
        <w:t xml:space="preserve">for each protein </w:t>
      </w:r>
      <w:r w:rsidR="00EB08CD"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EB08CD" w:rsidRPr="001B5B3A">
        <w:rPr>
          <w:rFonts w:asciiTheme="majorHAnsi" w:hAnsiTheme="majorHAnsi"/>
        </w:rPr>
        <w:t xml:space="preserve"> where </w:t>
      </w:r>
      <w:r w:rsidR="00EB08CD" w:rsidRPr="001B5B3A">
        <w:rPr>
          <w:rFonts w:asciiTheme="majorHAnsi" w:hAnsiTheme="majorHAnsi"/>
          <w:i/>
        </w:rPr>
        <w:t>T</w:t>
      </w:r>
      <w:r w:rsidR="00EB08CD" w:rsidRPr="001B5B3A">
        <w:rPr>
          <w:rFonts w:asciiTheme="majorHAnsi" w:hAnsiTheme="majorHAnsi"/>
        </w:rPr>
        <w:t xml:space="preserve"> is the total number of </w:t>
      </w:r>
      <w:r w:rsidR="00EB08CD">
        <w:rPr>
          <w:rFonts w:asciiTheme="majorHAnsi" w:hAnsiTheme="majorHAnsi"/>
        </w:rPr>
        <w:t xml:space="preserve">sentinel </w:t>
      </w:r>
      <w:r w:rsidR="00EB08CD"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EB08CD" w:rsidRPr="001B5B3A">
        <w:rPr>
          <w:rFonts w:asciiTheme="majorHAnsi" w:eastAsiaTheme="minorEastAsia" w:hAnsiTheme="majorHAnsi"/>
        </w:rPr>
        <w:t xml:space="preserve"> the chi-squared statistic and </w:t>
      </w:r>
      <m:oMath>
        <m:r>
          <w:rPr>
            <w:rFonts w:ascii="Cambria Math" w:hAnsi="Cambria Math"/>
          </w:rPr>
          <m:t>n</m:t>
        </m:r>
      </m:oMath>
      <w:r w:rsidR="00EB08CD" w:rsidRPr="001B5B3A">
        <w:rPr>
          <w:rFonts w:asciiTheme="majorHAnsi" w:eastAsiaTheme="minorEastAsia" w:hAnsiTheme="majorHAnsi"/>
        </w:rPr>
        <w:t xml:space="preserve"> the associate sample size, respectively (Giri, et al. 2019).</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DC738D">
        <w:rPr>
          <w:rFonts w:asciiTheme="majorHAnsi" w:hAnsiTheme="majorHAnsi"/>
        </w:rPr>
        <w:t xml:space="preserve"> </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 xml:space="preserve">The INTERVAL study: NHSBT (11-01-GEN) and the NIHR-BTRU in Donor Health and Genomics (NIHR BTRU- 2014-10024) at the University of Cambridge in partnership with NHSBT. This study was </w:t>
      </w:r>
      <w:r w:rsidRPr="001B5B3A">
        <w:rPr>
          <w:rFonts w:asciiTheme="majorHAnsi" w:hAnsiTheme="majorHAnsi" w:cs="Calibri"/>
          <w:sz w:val="22"/>
          <w:szCs w:val="22"/>
          <w:lang w:val="en-GB"/>
        </w:rPr>
        <w:lastRenderedPageBreak/>
        <w:t>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lastRenderedPageBreak/>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A02D16"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D16" w:rsidRDefault="00A02D16">
      <w:pPr>
        <w:spacing w:after="0"/>
      </w:pPr>
      <w:r>
        <w:separator/>
      </w:r>
    </w:p>
  </w:endnote>
  <w:endnote w:type="continuationSeparator" w:id="0">
    <w:p w:rsidR="00A02D16" w:rsidRDefault="00A02D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D16" w:rsidRDefault="00A02D16">
      <w:r>
        <w:separator/>
      </w:r>
    </w:p>
  </w:footnote>
  <w:footnote w:type="continuationSeparator" w:id="0">
    <w:p w:rsidR="00A02D16" w:rsidRDefault="00A02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1F5F"/>
    <w:rsid w:val="000347DA"/>
    <w:rsid w:val="0004017E"/>
    <w:rsid w:val="000425EC"/>
    <w:rsid w:val="0004280E"/>
    <w:rsid w:val="000437E3"/>
    <w:rsid w:val="00046E7A"/>
    <w:rsid w:val="00047A48"/>
    <w:rsid w:val="00050126"/>
    <w:rsid w:val="00056A02"/>
    <w:rsid w:val="00056A2F"/>
    <w:rsid w:val="00056AEA"/>
    <w:rsid w:val="0006160F"/>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0F7567"/>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53EBB"/>
    <w:rsid w:val="00160F42"/>
    <w:rsid w:val="001615C0"/>
    <w:rsid w:val="001655DF"/>
    <w:rsid w:val="00165E7E"/>
    <w:rsid w:val="001701EA"/>
    <w:rsid w:val="001705D7"/>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27913"/>
    <w:rsid w:val="00230B88"/>
    <w:rsid w:val="00231006"/>
    <w:rsid w:val="00231EE5"/>
    <w:rsid w:val="002329E8"/>
    <w:rsid w:val="00235DFF"/>
    <w:rsid w:val="00237C68"/>
    <w:rsid w:val="002445CA"/>
    <w:rsid w:val="002501ED"/>
    <w:rsid w:val="00251652"/>
    <w:rsid w:val="002619E1"/>
    <w:rsid w:val="00263EE9"/>
    <w:rsid w:val="0026581B"/>
    <w:rsid w:val="002666ED"/>
    <w:rsid w:val="002670D2"/>
    <w:rsid w:val="0027506F"/>
    <w:rsid w:val="0029113D"/>
    <w:rsid w:val="00291594"/>
    <w:rsid w:val="002A2060"/>
    <w:rsid w:val="002A42F9"/>
    <w:rsid w:val="002B56D2"/>
    <w:rsid w:val="002B5D6C"/>
    <w:rsid w:val="002C7D5F"/>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17E"/>
    <w:rsid w:val="003E6F81"/>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5E2C"/>
    <w:rsid w:val="00466E47"/>
    <w:rsid w:val="004700AA"/>
    <w:rsid w:val="00471E92"/>
    <w:rsid w:val="0047212A"/>
    <w:rsid w:val="004864AB"/>
    <w:rsid w:val="0049242F"/>
    <w:rsid w:val="0049518B"/>
    <w:rsid w:val="004A10E9"/>
    <w:rsid w:val="004A32AE"/>
    <w:rsid w:val="004A5168"/>
    <w:rsid w:val="004A5863"/>
    <w:rsid w:val="004A654C"/>
    <w:rsid w:val="004A7978"/>
    <w:rsid w:val="004B1E89"/>
    <w:rsid w:val="004B58B5"/>
    <w:rsid w:val="004B69E1"/>
    <w:rsid w:val="004C09A5"/>
    <w:rsid w:val="004C32CE"/>
    <w:rsid w:val="004C63F1"/>
    <w:rsid w:val="004C66C9"/>
    <w:rsid w:val="004C7E17"/>
    <w:rsid w:val="004D20B5"/>
    <w:rsid w:val="004D3D94"/>
    <w:rsid w:val="004D4A93"/>
    <w:rsid w:val="004E0369"/>
    <w:rsid w:val="004E1A38"/>
    <w:rsid w:val="004E29B3"/>
    <w:rsid w:val="004E40D4"/>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D7628"/>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18D6"/>
    <w:rsid w:val="006A3B0E"/>
    <w:rsid w:val="006B026D"/>
    <w:rsid w:val="006B0619"/>
    <w:rsid w:val="006B115C"/>
    <w:rsid w:val="006B292A"/>
    <w:rsid w:val="006B40C4"/>
    <w:rsid w:val="006B585D"/>
    <w:rsid w:val="006B6ACE"/>
    <w:rsid w:val="006C0D36"/>
    <w:rsid w:val="006C15BA"/>
    <w:rsid w:val="006C24AA"/>
    <w:rsid w:val="006C3223"/>
    <w:rsid w:val="006C4A08"/>
    <w:rsid w:val="006D02B7"/>
    <w:rsid w:val="006D6F5E"/>
    <w:rsid w:val="006D7DDD"/>
    <w:rsid w:val="006E0F5C"/>
    <w:rsid w:val="006E2666"/>
    <w:rsid w:val="006E46C6"/>
    <w:rsid w:val="006E551E"/>
    <w:rsid w:val="006E66EF"/>
    <w:rsid w:val="006E6A00"/>
    <w:rsid w:val="006F641C"/>
    <w:rsid w:val="00701583"/>
    <w:rsid w:val="007017F1"/>
    <w:rsid w:val="00701BFB"/>
    <w:rsid w:val="0070407F"/>
    <w:rsid w:val="007045D9"/>
    <w:rsid w:val="00705C5E"/>
    <w:rsid w:val="00707D67"/>
    <w:rsid w:val="007109BD"/>
    <w:rsid w:val="00710F13"/>
    <w:rsid w:val="00712D11"/>
    <w:rsid w:val="007168F4"/>
    <w:rsid w:val="00716AD2"/>
    <w:rsid w:val="007261FB"/>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2BF"/>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0139"/>
    <w:rsid w:val="00841817"/>
    <w:rsid w:val="00844600"/>
    <w:rsid w:val="00855212"/>
    <w:rsid w:val="00856AA7"/>
    <w:rsid w:val="008604E1"/>
    <w:rsid w:val="0086550E"/>
    <w:rsid w:val="008761AE"/>
    <w:rsid w:val="008762BF"/>
    <w:rsid w:val="00876789"/>
    <w:rsid w:val="008776AF"/>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2411"/>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EDA"/>
    <w:rsid w:val="00952A44"/>
    <w:rsid w:val="00953C9A"/>
    <w:rsid w:val="00963A9D"/>
    <w:rsid w:val="0096440F"/>
    <w:rsid w:val="00965E36"/>
    <w:rsid w:val="00972313"/>
    <w:rsid w:val="00972869"/>
    <w:rsid w:val="00974393"/>
    <w:rsid w:val="00974AA0"/>
    <w:rsid w:val="00981969"/>
    <w:rsid w:val="00984981"/>
    <w:rsid w:val="009850C4"/>
    <w:rsid w:val="0098549D"/>
    <w:rsid w:val="0098622B"/>
    <w:rsid w:val="009900A3"/>
    <w:rsid w:val="00990D93"/>
    <w:rsid w:val="009924D6"/>
    <w:rsid w:val="0099277E"/>
    <w:rsid w:val="00992B0E"/>
    <w:rsid w:val="009A0C37"/>
    <w:rsid w:val="009A168C"/>
    <w:rsid w:val="009A1956"/>
    <w:rsid w:val="009A24E2"/>
    <w:rsid w:val="009A299C"/>
    <w:rsid w:val="009A39FA"/>
    <w:rsid w:val="009A5345"/>
    <w:rsid w:val="009A7E4E"/>
    <w:rsid w:val="009C0960"/>
    <w:rsid w:val="009C45A4"/>
    <w:rsid w:val="009D53AA"/>
    <w:rsid w:val="009D5AEC"/>
    <w:rsid w:val="009E194C"/>
    <w:rsid w:val="009E1D86"/>
    <w:rsid w:val="009E27A3"/>
    <w:rsid w:val="009E4385"/>
    <w:rsid w:val="009F6849"/>
    <w:rsid w:val="009F71B4"/>
    <w:rsid w:val="009F7814"/>
    <w:rsid w:val="00A01E03"/>
    <w:rsid w:val="00A022F7"/>
    <w:rsid w:val="00A02D16"/>
    <w:rsid w:val="00A04F62"/>
    <w:rsid w:val="00A05B72"/>
    <w:rsid w:val="00A144F0"/>
    <w:rsid w:val="00A21581"/>
    <w:rsid w:val="00A23A8D"/>
    <w:rsid w:val="00A2427B"/>
    <w:rsid w:val="00A304BF"/>
    <w:rsid w:val="00A358D2"/>
    <w:rsid w:val="00A37865"/>
    <w:rsid w:val="00A41273"/>
    <w:rsid w:val="00A44886"/>
    <w:rsid w:val="00A44FF5"/>
    <w:rsid w:val="00A5247C"/>
    <w:rsid w:val="00A60CCC"/>
    <w:rsid w:val="00A611BB"/>
    <w:rsid w:val="00A64634"/>
    <w:rsid w:val="00A66087"/>
    <w:rsid w:val="00A67430"/>
    <w:rsid w:val="00A72F06"/>
    <w:rsid w:val="00A80D7A"/>
    <w:rsid w:val="00A81434"/>
    <w:rsid w:val="00A82770"/>
    <w:rsid w:val="00A8435E"/>
    <w:rsid w:val="00A86846"/>
    <w:rsid w:val="00A90C76"/>
    <w:rsid w:val="00A94888"/>
    <w:rsid w:val="00A96464"/>
    <w:rsid w:val="00A96C4A"/>
    <w:rsid w:val="00A96D42"/>
    <w:rsid w:val="00A97C5F"/>
    <w:rsid w:val="00AA12F6"/>
    <w:rsid w:val="00AA1D37"/>
    <w:rsid w:val="00AA6D71"/>
    <w:rsid w:val="00AB1198"/>
    <w:rsid w:val="00AC34BC"/>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40E33"/>
    <w:rsid w:val="00B50792"/>
    <w:rsid w:val="00B514CF"/>
    <w:rsid w:val="00B545C3"/>
    <w:rsid w:val="00B57BBD"/>
    <w:rsid w:val="00B6570D"/>
    <w:rsid w:val="00B6622E"/>
    <w:rsid w:val="00B665BE"/>
    <w:rsid w:val="00B67F0F"/>
    <w:rsid w:val="00B76BD9"/>
    <w:rsid w:val="00B76E29"/>
    <w:rsid w:val="00B80F33"/>
    <w:rsid w:val="00B829B6"/>
    <w:rsid w:val="00B86B75"/>
    <w:rsid w:val="00B86FF9"/>
    <w:rsid w:val="00B907DA"/>
    <w:rsid w:val="00B95F5C"/>
    <w:rsid w:val="00B961CE"/>
    <w:rsid w:val="00B96F64"/>
    <w:rsid w:val="00B975A0"/>
    <w:rsid w:val="00BA2CA9"/>
    <w:rsid w:val="00BA66CC"/>
    <w:rsid w:val="00BA7698"/>
    <w:rsid w:val="00BB004A"/>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5277"/>
    <w:rsid w:val="00C36279"/>
    <w:rsid w:val="00C36297"/>
    <w:rsid w:val="00C37D00"/>
    <w:rsid w:val="00C37DAA"/>
    <w:rsid w:val="00C42864"/>
    <w:rsid w:val="00C478FD"/>
    <w:rsid w:val="00C566DE"/>
    <w:rsid w:val="00C638DF"/>
    <w:rsid w:val="00C67D02"/>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C7E32"/>
    <w:rsid w:val="00CD442D"/>
    <w:rsid w:val="00CD4E5E"/>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1F55"/>
    <w:rsid w:val="00D55500"/>
    <w:rsid w:val="00D567E8"/>
    <w:rsid w:val="00D61242"/>
    <w:rsid w:val="00D72CE3"/>
    <w:rsid w:val="00D72ED5"/>
    <w:rsid w:val="00D83C54"/>
    <w:rsid w:val="00DB7EA2"/>
    <w:rsid w:val="00DC420C"/>
    <w:rsid w:val="00DC738D"/>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27BEC"/>
    <w:rsid w:val="00E315A3"/>
    <w:rsid w:val="00E33238"/>
    <w:rsid w:val="00E43B78"/>
    <w:rsid w:val="00E4591E"/>
    <w:rsid w:val="00E46136"/>
    <w:rsid w:val="00E50590"/>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B08CD"/>
    <w:rsid w:val="00EC6663"/>
    <w:rsid w:val="00EC68CE"/>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5"/>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5573F"/>
    <w:rsid w:val="00F55C0A"/>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0C3E"/>
    <w:rsid w:val="00FD1759"/>
    <w:rsid w:val="00FD1EA5"/>
    <w:rsid w:val="00FD630D"/>
    <w:rsid w:val="00FD6D66"/>
    <w:rsid w:val="00FE5785"/>
    <w:rsid w:val="00FE63D4"/>
    <w:rsid w:val="00FE6ED2"/>
    <w:rsid w:val="00FF01D5"/>
    <w:rsid w:val="00FF1C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8993"/>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TotalTime>
  <Pages>15</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727</cp:revision>
  <dcterms:created xsi:type="dcterms:W3CDTF">2019-01-29T13:57:00Z</dcterms:created>
  <dcterms:modified xsi:type="dcterms:W3CDTF">2019-07-30T07:50:00Z</dcterms:modified>
</cp:coreProperties>
</file>