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9C45A4">
      <w:pPr>
        <w:pStyle w:val="FirstParagraph"/>
      </w:pPr>
      <w:r>
        <w:t>Authors to be added</w:t>
      </w:r>
      <w:r w:rsidR="008F09E6">
        <w:t xml:space="preserve"> here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 xml:space="preserve">Proteins play </w:t>
      </w:r>
      <w:r w:rsidR="00554F50">
        <w:t xml:space="preserve">a </w:t>
      </w:r>
      <w:r>
        <w:t>central ro</w:t>
      </w:r>
      <w:r w:rsidR="004B1E89">
        <w:t>le in many biological processes</w:t>
      </w:r>
      <w:r w:rsidR="00752961">
        <w:t xml:space="preserve"> and large-scale protein-wide genomic analysis (PGWAS) became important source of information </w:t>
      </w:r>
      <w:r w:rsidR="003318D5">
        <w:t>as highlighted in</w:t>
      </w:r>
      <w:r w:rsidR="006560FD">
        <w:t xml:space="preserve"> </w:t>
      </w:r>
      <w:r w:rsidR="003318D5">
        <w:t xml:space="preserve">recent work by </w:t>
      </w:r>
      <w:r w:rsidR="00752961">
        <w:t xml:space="preserve">Sun et al. </w:t>
      </w:r>
      <w:r w:rsidR="003318D5">
        <w:t>(</w:t>
      </w:r>
      <w:r w:rsidR="00752961">
        <w:t>2018).</w:t>
      </w:r>
      <w:r w:rsidR="00471E92">
        <w:t xml:space="preserve"> Unlike other GWAS, many aspects </w:t>
      </w:r>
      <w:r w:rsidR="00F36EFB">
        <w:t>linking</w:t>
      </w:r>
      <w:r w:rsidR="00471E92">
        <w:t xml:space="preserve"> protein</w:t>
      </w:r>
      <w:r w:rsidR="00F36EFB">
        <w:t>s</w:t>
      </w:r>
      <w:r w:rsidR="00471E92">
        <w:t xml:space="preserve"> remain</w:t>
      </w:r>
      <w:r w:rsidR="00050126">
        <w:t xml:space="preserve"> unclear but could </w:t>
      </w:r>
      <w:r w:rsidR="003F1E68">
        <w:t xml:space="preserve">only </w:t>
      </w:r>
      <w:r w:rsidR="00050126">
        <w:t xml:space="preserve">be </w:t>
      </w:r>
      <w:r w:rsidR="003F1E68">
        <w:t xml:space="preserve">revealed </w:t>
      </w:r>
      <w:r w:rsidR="00050126">
        <w:t>via large-scale studies.</w:t>
      </w:r>
    </w:p>
    <w:p w:rsidR="006560FD" w:rsidRDefault="006560FD" w:rsidP="00FC5E08">
      <w:pPr>
        <w:pStyle w:val="BodyText"/>
      </w:pPr>
      <w:r>
        <w:t>Here we report findings associated with OLINK/INF1 panel, using cohorts in the SCAndinavian coLLaboration for Olink plasma Protein genetics (SCALLOP) consortium, a collaborative framework for discovery and follow-up of genetic associations with proteins on the Olink Proteomics platform.</w:t>
      </w:r>
    </w:p>
    <w:p w:rsidR="008E705C" w:rsidRDefault="006560FD" w:rsidP="00FC5E08">
      <w:pPr>
        <w:pStyle w:val="BodyText"/>
      </w:pPr>
      <w:r>
        <w:t>W</w:t>
      </w:r>
      <w:r w:rsidR="00F455F0">
        <w:t xml:space="preserve">e </w:t>
      </w:r>
      <w:r w:rsidR="00D61242">
        <w:t xml:space="preserve">identified pQTLs, </w:t>
      </w:r>
      <w:r w:rsidR="00FC5E08">
        <w:t xml:space="preserve">the </w:t>
      </w:r>
      <w:r w:rsidR="00902CE7">
        <w:t xml:space="preserve">mechanistic basis of </w:t>
      </w:r>
      <w:r w:rsidR="00D61242">
        <w:t xml:space="preserve">their </w:t>
      </w:r>
      <w:r w:rsidR="00902CE7">
        <w:t>cis- and trans-</w:t>
      </w:r>
      <w:r w:rsidR="00D61242">
        <w:t xml:space="preserve"> effects </w:t>
      </w:r>
      <w:r w:rsidR="00902CE7">
        <w:t>by functional annotation</w:t>
      </w:r>
      <w:r w:rsidR="00FC5E08">
        <w:t xml:space="preserve">, </w:t>
      </w:r>
      <w:r w:rsidR="00902CE7">
        <w:t>pleiotropic effects</w:t>
      </w:r>
      <w:r w:rsidR="00FC5E08">
        <w:t xml:space="preserve">, </w:t>
      </w:r>
      <w:r w:rsidR="00902CE7">
        <w:t>the</w:t>
      </w:r>
      <w:r w:rsidR="00BF7D61">
        <w:t>ir</w:t>
      </w:r>
      <w:r w:rsidR="00902CE7">
        <w:t xml:space="preserve"> causal role </w:t>
      </w:r>
      <w:r w:rsidR="005F7075">
        <w:t xml:space="preserve">on </w:t>
      </w:r>
      <w:r w:rsidR="00902CE7">
        <w:t xml:space="preserve">disease outcomes such as CHD </w:t>
      </w:r>
      <w:r w:rsidR="00BF7D61">
        <w:t>and</w:t>
      </w:r>
      <w:r w:rsidR="00FC5E08">
        <w:t xml:space="preserve"> other </w:t>
      </w:r>
      <w:r w:rsidR="00902CE7">
        <w:t>downstream analysis</w:t>
      </w:r>
      <w:r w:rsidR="00FC5E08">
        <w:t>.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</w:t>
      </w:r>
      <w:r w:rsidR="00B267C5">
        <w:t>/INF1</w:t>
      </w:r>
      <w:r>
        <w:t xml:space="preserve"> consortium</w:t>
      </w:r>
    </w:p>
    <w:p w:rsidR="008E705C" w:rsidRDefault="005810C5" w:rsidP="007D1565">
      <w:pPr>
        <w:pStyle w:val="FirstParagraph"/>
      </w:pPr>
      <w:r>
        <w:t xml:space="preserve">The contributing cohorts </w:t>
      </w:r>
      <w:r w:rsidR="00B267C5">
        <w:t xml:space="preserve">in this study </w:t>
      </w:r>
      <w:r>
        <w:t xml:space="preserve">are listed in </w:t>
      </w:r>
      <w:r w:rsidR="008A448F">
        <w:t xml:space="preserve">Supplementary </w:t>
      </w:r>
      <w:r>
        <w:t>Table</w:t>
      </w:r>
      <w:r w:rsidR="005575BA">
        <w:t xml:space="preserve"> x</w:t>
      </w:r>
      <w:r>
        <w:t xml:space="preserve">. </w:t>
      </w:r>
      <w:bookmarkEnd w:id="4"/>
      <w:r w:rsidR="0049518B">
        <w:t>T</w:t>
      </w:r>
      <w:r w:rsidR="00902CE7">
        <w:t xml:space="preserve">he </w:t>
      </w:r>
      <w:r w:rsidR="00BD4B3D">
        <w:t xml:space="preserve">original </w:t>
      </w:r>
      <w:r w:rsidR="00902CE7"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  <w:r w:rsidR="007D1565">
        <w:t xml:space="preserve"> </w:t>
      </w:r>
      <w:r w:rsidR="00902CE7">
        <w:t xml:space="preserve">Quality control on </w:t>
      </w:r>
      <w:r w:rsidR="00F01539">
        <w:t xml:space="preserve">cohort level involves </w:t>
      </w:r>
      <w:r w:rsidR="00902CE7">
        <w:t>SNP/sample call rates, gender mismatch, abnormal inbreeding coefficient, failed cryptic relatedness test, ancestry outlier, heterozygosity and Hardy-Weinberg equilibrium test.</w:t>
      </w:r>
      <w:r w:rsidR="006560FD">
        <w:t xml:space="preserve"> 1000 genomes imputation, build 37 (hg19) positions.</w:t>
      </w:r>
    </w:p>
    <w:p w:rsidR="008E705C" w:rsidRDefault="00902CE7">
      <w:pPr>
        <w:pStyle w:val="Heading3"/>
      </w:pPr>
      <w:bookmarkStart w:id="5" w:name="association-analysis"/>
      <w:r>
        <w:t xml:space="preserve">Association </w:t>
      </w:r>
      <w:bookmarkEnd w:id="5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6" w:name="meta-analysis"/>
      <w:r>
        <w:t>Meta-analysis</w:t>
      </w:r>
      <w:bookmarkEnd w:id="6"/>
    </w:p>
    <w:p w:rsidR="00B50792" w:rsidRPr="00B50792" w:rsidRDefault="00560E7F" w:rsidP="00B50792">
      <w:pPr>
        <w:pStyle w:val="FirstParagraph"/>
      </w:pPr>
      <w:r>
        <w:t xml:space="preserve">R package </w:t>
      </w:r>
      <w:r w:rsidR="008216E8">
        <w:t>QCGWAS</w:t>
      </w:r>
      <w:r w:rsidR="00935A7F">
        <w:t xml:space="preserve"> </w:t>
      </w:r>
      <w:r w:rsidR="008216E8">
        <w:t xml:space="preserve">was </w:t>
      </w:r>
      <w:r w:rsidR="00935A7F">
        <w:t>used</w:t>
      </w:r>
      <w:r w:rsidR="008216E8">
        <w:t xml:space="preserve"> to </w:t>
      </w:r>
      <w:r w:rsidR="00935A7F">
        <w:t xml:space="preserve">generate cohort-level Q-Q and Manhattan plots, </w:t>
      </w:r>
      <w:r w:rsidR="008216E8">
        <w:t>suggest</w:t>
      </w:r>
      <w:r w:rsidR="00935A7F">
        <w:t>ing</w:t>
      </w:r>
      <w:r w:rsidR="008216E8">
        <w:t xml:space="preserve"> </w:t>
      </w:r>
      <w:r w:rsidR="006E2666">
        <w:t xml:space="preserve">appropriate </w:t>
      </w:r>
      <w:r w:rsidR="008216E8">
        <w:t xml:space="preserve">MAF cut-off. </w:t>
      </w:r>
      <w:r w:rsidR="00902CE7">
        <w:t>Meta-analysis w</w:t>
      </w:r>
      <w:r w:rsidR="00D406F6">
        <w:t>ere</w:t>
      </w:r>
      <w:r w:rsidR="00902CE7">
        <w:t xml:space="preserve"> performed centrally using the inverse-</w:t>
      </w:r>
      <w:r w:rsidR="00574D04">
        <w:t>variance</w:t>
      </w:r>
      <w:r w:rsidR="00902CE7"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 w:rsidR="00902CE7"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 w:rsidR="00902CE7">
        <w:t xml:space="preserve">mputation quality filters </w:t>
      </w:r>
      <w:r w:rsidR="008C6C22">
        <w:t>were applied at the meta-analysis</w:t>
      </w:r>
      <w:r w:rsidR="00902CE7">
        <w:t>.</w:t>
      </w:r>
      <w:r w:rsidR="00931030">
        <w:t xml:space="preserve"> G</w:t>
      </w:r>
      <w:r w:rsidR="00902CE7"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 w:rsidR="00902CE7">
        <w:t>.</w:t>
      </w:r>
      <w:r w:rsidR="00931030">
        <w:t xml:space="preserve"> </w:t>
      </w:r>
      <w:r w:rsidR="00D512D4">
        <w:t xml:space="preserve">Q-Q and Manhattan plots were generated from R package qqman while regional association plot from LocusZoom 1.4. </w:t>
      </w:r>
      <w:r w:rsidR="00931030">
        <w:t>T</w:t>
      </w:r>
      <w:r w:rsidR="00902CE7">
        <w:t xml:space="preserve">he Bonferroni threshold for </w:t>
      </w:r>
      <w:r w:rsidR="00902CE7">
        <w:lastRenderedPageBreak/>
        <w:t xml:space="preserve">the genome-wide analyses </w:t>
      </w:r>
      <w:r w:rsidR="00931030">
        <w:t xml:space="preserve">is </w:t>
      </w:r>
      <w:r w:rsidR="00902CE7">
        <w:t>5 x 10</w:t>
      </w:r>
      <w:r w:rsidR="00902CE7" w:rsidRPr="008761AE">
        <w:rPr>
          <w:vertAlign w:val="superscript"/>
        </w:rPr>
        <w:t>-10</w:t>
      </w:r>
      <w:r w:rsidR="00902CE7">
        <w:t>. The results w</w:t>
      </w:r>
      <w:r w:rsidR="008C6C22">
        <w:t>ere</w:t>
      </w:r>
      <w:r w:rsidR="00902CE7"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</w:t>
      </w:r>
      <w:r w:rsidR="007A249E">
        <w:t xml:space="preserve">with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</w:t>
      </w:r>
      <w:r w:rsidR="008216E8">
        <w:rPr>
          <w:rFonts w:eastAsiaTheme="minorEastAsia"/>
        </w:rPr>
        <w:t xml:space="preserve"> 2019</w:t>
      </w:r>
      <w:r w:rsidR="00E67F3F">
        <w:rPr>
          <w:rFonts w:eastAsiaTheme="minorEastAsia"/>
        </w:rPr>
        <w:t>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075A4C" w:rsidRDefault="003A7CFE" w:rsidP="00075A4C">
      <w:pPr>
        <w:pStyle w:val="Heading2"/>
      </w:pPr>
      <w:r>
        <w:t xml:space="preserve">Transcriptomewide association </w:t>
      </w:r>
      <w:r w:rsidR="00075A4C">
        <w:t>analysis</w:t>
      </w:r>
    </w:p>
    <w:p w:rsidR="00075A4C" w:rsidRPr="00F345ED" w:rsidRDefault="00800027" w:rsidP="00444AB5">
      <w:pPr>
        <w:pStyle w:val="BodyText"/>
      </w:pPr>
      <w:r>
        <w:t xml:space="preserve">This mirrors </w:t>
      </w:r>
      <w:r w:rsidR="002E353A">
        <w:t xml:space="preserve">work by Mancuso et al. (2017) and </w:t>
      </w:r>
      <w:r>
        <w:t xml:space="preserve">work </w:t>
      </w:r>
      <w:r w:rsidR="003A7CFE">
        <w:t xml:space="preserve">on mQTL </w:t>
      </w:r>
      <w:r>
        <w:t>by McRae et al. (2018)</w:t>
      </w:r>
      <w:r w:rsidR="00974AA0">
        <w:t xml:space="preserve"> and Yengo, et al. (2018).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 w:rsidR="001044FD">
        <w:t xml:space="preserve"> xx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1044FD">
        <w:t xml:space="preserve"> xx</w:t>
      </w:r>
      <w:r w:rsidR="005D37C7">
        <w:t xml:space="preserve">. The cis/trans classification is shown in </w:t>
      </w:r>
      <w:r w:rsidR="0040430F">
        <w:t xml:space="preserve">Supplementary </w:t>
      </w:r>
      <w:r w:rsidR="005D37C7">
        <w:t xml:space="preserve">Table </w:t>
      </w:r>
      <w:r w:rsidR="0040430F">
        <w:t xml:space="preserve">x </w:t>
      </w:r>
      <w:r w:rsidR="005D37C7">
        <w:t xml:space="preserve">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 w:rsidR="00DB7EA2">
        <w:t xml:space="preserve"> through R package gap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 w:rsidR="004A10E9">
        <w:t>f</w:t>
      </w:r>
      <w:r>
        <w:t>o</w:t>
      </w:r>
      <w:r w:rsidR="004A10E9">
        <w:t>r making</w:t>
      </w:r>
      <w:r>
        <w:t xml:space="preserve"> this work possible.</w:t>
      </w:r>
    </w:p>
    <w:p w:rsidR="001909CF" w:rsidRDefault="001909CF" w:rsidP="001909CF">
      <w:pPr>
        <w:pStyle w:val="Heading2"/>
      </w:pPr>
      <w:r>
        <w:lastRenderedPageBreak/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2E353A" w:rsidRDefault="002E353A" w:rsidP="0075557E">
      <w:pPr>
        <w:pStyle w:val="NormalWeb"/>
      </w:pPr>
      <w:r>
        <w:t xml:space="preserve">Mancuso N, et al. (2017). Integrating gene expression with summary association statistics to identify susceptibility genes for 30 complex traits. </w:t>
      </w:r>
      <w:r>
        <w:rPr>
          <w:rStyle w:val="Emphasis"/>
        </w:rPr>
        <w:t>Am J Hum Genet</w:t>
      </w:r>
      <w:r>
        <w:t xml:space="preserve"> 100:473-487</w:t>
      </w:r>
    </w:p>
    <w:p w:rsidR="002666ED" w:rsidRDefault="002666ED" w:rsidP="0075557E">
      <w:pPr>
        <w:pStyle w:val="NormalWeb"/>
      </w:pPr>
      <w:r w:rsidRPr="002666ED">
        <w:t xml:space="preserve">McRae AF, et al. </w:t>
      </w:r>
      <w:r w:rsidR="009E4385">
        <w:t>(</w:t>
      </w:r>
      <w:r w:rsidR="009E4385" w:rsidRPr="002666ED">
        <w:t>2018</w:t>
      </w:r>
      <w:r w:rsidR="009E4385">
        <w:t xml:space="preserve">). </w:t>
      </w:r>
      <w:r w:rsidRPr="002666ED">
        <w:t xml:space="preserve">Identification of 55,000 Replicated DNA Methylation QTL. </w:t>
      </w:r>
      <w:r w:rsidRPr="009E4385">
        <w:rPr>
          <w:i/>
        </w:rPr>
        <w:t>Sci Rep.</w:t>
      </w:r>
      <w:r w:rsidRPr="002666ED">
        <w:t xml:space="preserve"> 8(1):17605. doi: 10.1038/s41598-018-35871-w.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3D63BF" w:rsidRDefault="003D63BF" w:rsidP="0075557E">
      <w:pPr>
        <w:pStyle w:val="NormalWeb"/>
      </w:pPr>
      <w:r>
        <w:t xml:space="preserve">Yengo L, et al. (2018). Meta-analysis of genome-wide association studies for height and body mass index in </w:t>
      </w:r>
      <w:r>
        <w:rPr>
          <w:rFonts w:ascii="Cambria Math" w:hAnsi="Cambria Math" w:cs="Cambria Math"/>
        </w:rPr>
        <w:t>∼</w:t>
      </w:r>
      <w:r>
        <w:t xml:space="preserve">700000 individuals of European ancestry. </w:t>
      </w:r>
      <w:r w:rsidRPr="003D63BF">
        <w:rPr>
          <w:i/>
        </w:rPr>
        <w:t>Hum Mol Genet</w:t>
      </w:r>
      <w:r>
        <w:t>. 27(20):3641-3649. doi: 10.1093/hmg/ddy271.</w:t>
      </w:r>
    </w:p>
    <w:p w:rsidR="00A66087" w:rsidRDefault="00A66087" w:rsidP="00A66087">
      <w:pPr>
        <w:pStyle w:val="Heading2"/>
      </w:pPr>
      <w:r>
        <w:t>Supplementary information</w:t>
      </w:r>
    </w:p>
    <w:p w:rsidR="000728A3" w:rsidRDefault="000728A3" w:rsidP="000728A3">
      <w:pPr>
        <w:pStyle w:val="Heading2"/>
      </w:pPr>
      <w:r>
        <w:t>URLs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D43D05">
        <w:t xml:space="preserve">METAL </w:t>
      </w:r>
      <w:hyperlink r:id="rId10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1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141DEC">
        <w:t xml:space="preserve">KING, </w:t>
      </w:r>
      <w:hyperlink r:id="rId12" w:history="1">
        <w:r w:rsidR="00141DEC" w:rsidRPr="00021C60">
          <w:rPr>
            <w:rStyle w:val="Hyperlink"/>
          </w:rPr>
          <w:t>http://people.virginia.edu/~wc9c/KING/</w:t>
        </w:r>
      </w:hyperlink>
      <w:r w:rsidR="00141DEC">
        <w:t xml:space="preserve">; </w:t>
      </w:r>
      <w:r w:rsidR="00FC7C37">
        <w:t>LDetect-data</w:t>
      </w:r>
      <w:r w:rsidR="00BD14D6">
        <w:t xml:space="preserve"> (</w:t>
      </w:r>
      <w:r w:rsidR="00C27760">
        <w:t xml:space="preserve">for </w:t>
      </w:r>
      <w:r w:rsidR="00BD14D6">
        <w:t>approximately independent LD blocks)</w:t>
      </w:r>
      <w:r w:rsidR="00FC7C37">
        <w:t xml:space="preserve">, </w:t>
      </w:r>
      <w:hyperlink r:id="rId13" w:history="1">
        <w:r w:rsidR="00FC7C37" w:rsidRPr="00D808BF">
          <w:rPr>
            <w:rStyle w:val="Hyperlink"/>
          </w:rPr>
          <w:t>https://bitbucket.org/nygcresearch/ldetect-data</w:t>
        </w:r>
      </w:hyperlink>
      <w:r w:rsidR="00FC7C37">
        <w:t xml:space="preserve">; </w:t>
      </w:r>
      <w:r w:rsidR="00F20F38">
        <w:t>LocusZoom,</w:t>
      </w:r>
      <w:r w:rsidR="00F20F38" w:rsidRPr="00F20F38">
        <w:t xml:space="preserve"> </w:t>
      </w:r>
      <w:hyperlink r:id="rId14" w:history="1">
        <w:r w:rsidR="00F20F38" w:rsidRPr="008B473B">
          <w:rPr>
            <w:rStyle w:val="Hyperlink"/>
          </w:rPr>
          <w:t>https://github.com/statgen/locuszoom-standalone</w:t>
        </w:r>
      </w:hyperlink>
      <w:r w:rsidR="00F20F38">
        <w:t xml:space="preserve">; </w:t>
      </w:r>
      <w:r w:rsidR="0039096B">
        <w:t xml:space="preserve">R. </w:t>
      </w:r>
      <w:hyperlink r:id="rId15" w:history="1">
        <w:r w:rsidR="00675529" w:rsidRPr="008B473B">
          <w:rPr>
            <w:rStyle w:val="Hyperlink"/>
          </w:rPr>
          <w:t>https://cran.r-project.org</w:t>
        </w:r>
      </w:hyperlink>
      <w:r w:rsidR="0039096B">
        <w:t xml:space="preserve">; </w:t>
      </w:r>
      <w:r w:rsidR="004A5168">
        <w:t xml:space="preserve">Uniprot, </w:t>
      </w:r>
      <w:hyperlink r:id="rId16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5749EA" w:rsidRDefault="00651082" w:rsidP="005749EA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INTERVAL.</w:t>
      </w:r>
      <w:r w:rsidR="006B026D">
        <w:rPr>
          <w:b/>
        </w:rPr>
        <w:t xml:space="preserve"> </w:t>
      </w:r>
      <w:r w:rsidR="005749EA">
        <w:rPr>
          <w:rFonts w:ascii="Calibri" w:hAnsi="Calibri" w:cs="Calibri"/>
          <w:sz w:val="22"/>
          <w:szCs w:val="22"/>
          <w:lang w:val="en-GB"/>
        </w:rPr>
        <w:t>The INTERVAL study: NHSBT (11-01-GEN) and the NIHR-BTRU in Donor Health and Genomics (NIHR BTRU-2014-10024) at the University of Cambridge in partnership with NHSBT. This study was partially funded by Merck.</w:t>
      </w:r>
      <w:r w:rsidR="005749EA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5749EA">
        <w:rPr>
          <w:rFonts w:ascii="Calibri" w:hAnsi="Calibri" w:cs="Calibri"/>
          <w:sz w:val="22"/>
          <w:szCs w:val="22"/>
          <w:lang w:val="en-GB"/>
        </w:rPr>
        <w:t>The views expressed are those of the authors and not necessarily those of the NHS, the NIHR, the Department of</w:t>
      </w:r>
      <w:r w:rsidR="005749EA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5749EA">
        <w:rPr>
          <w:rFonts w:ascii="Calibri" w:hAnsi="Calibri" w:cs="Calibri"/>
          <w:sz w:val="22"/>
          <w:szCs w:val="22"/>
          <w:lang w:val="en-GB"/>
        </w:rPr>
        <w:t>Health of England, or NHSBT. The Cardiovascular Epidemiology Unit at the University of Cambridge: UK MRC</w:t>
      </w:r>
      <w:r w:rsidR="005749EA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5749EA">
        <w:rPr>
          <w:rFonts w:ascii="Calibri" w:hAnsi="Calibri" w:cs="Calibri"/>
          <w:sz w:val="22"/>
          <w:szCs w:val="22"/>
          <w:lang w:val="en-GB"/>
        </w:rPr>
        <w:t>(G0800270), BHF (SP/09/002), UK NIHR Cambridge Biomedical Research Centre, ERC (268834), and European</w:t>
      </w:r>
      <w:r w:rsidR="005749EA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5749EA">
        <w:rPr>
          <w:rFonts w:ascii="Calibri" w:hAnsi="Calibri" w:cs="Calibri"/>
          <w:sz w:val="22"/>
          <w:szCs w:val="22"/>
          <w:lang w:val="en-GB"/>
        </w:rPr>
        <w:t>Commission Framework Programme 7 (HEALTH-F2-2012-279233).</w:t>
      </w:r>
    </w:p>
    <w:p w:rsidR="00651082" w:rsidRPr="006B026D" w:rsidRDefault="006B026D" w:rsidP="007725D8">
      <w:pPr>
        <w:pStyle w:val="NormalWeb"/>
      </w:pPr>
      <w:r>
        <w:t xml:space="preserve">See </w:t>
      </w:r>
      <w:r w:rsidR="002A2060">
        <w:t xml:space="preserve">Astle, et al. (2016), </w:t>
      </w:r>
      <w:r>
        <w:t>Sun</w:t>
      </w:r>
      <w:r w:rsidR="002A2060">
        <w:t>,</w:t>
      </w:r>
      <w:r>
        <w:t xml:space="preserve"> et al. (2018).</w:t>
      </w:r>
    </w:p>
    <w:p w:rsidR="000C7FBA" w:rsidRDefault="00990D93" w:rsidP="000C7FBA">
      <w:p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  <w:lang w:val="en-GB"/>
        </w:rPr>
      </w:pPr>
      <w:r w:rsidRPr="007045D9">
        <w:rPr>
          <w:b/>
        </w:rPr>
        <w:t>KORA</w:t>
      </w:r>
      <w:r>
        <w:t xml:space="preserve">. </w:t>
      </w:r>
      <w:r w:rsidR="000C7FBA">
        <w:rPr>
          <w:rFonts w:ascii="Calibri" w:hAnsi="Calibri" w:cs="Calibri"/>
          <w:sz w:val="22"/>
          <w:szCs w:val="22"/>
          <w:lang w:val="en-GB"/>
        </w:rPr>
        <w:t>The KORA study was initiated and financed by the Helmholtz Zentrum München – German</w:t>
      </w:r>
    </w:p>
    <w:p w:rsidR="000C7FBA" w:rsidRDefault="000C7FBA" w:rsidP="000C7FBA">
      <w:pPr>
        <w:autoSpaceDE w:val="0"/>
        <w:autoSpaceDN w:val="0"/>
        <w:adjustRightInd w:val="0"/>
        <w:spacing w:after="0"/>
      </w:pPr>
      <w:r>
        <w:rPr>
          <w:rFonts w:ascii="Calibri" w:hAnsi="Calibri" w:cs="Calibri"/>
          <w:sz w:val="22"/>
          <w:szCs w:val="22"/>
          <w:lang w:val="en-GB"/>
        </w:rPr>
        <w:t>Research Center for Environmental Health, which is funded by the German Federal Ministry of Education and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>Research (BMBF) and by the State of Bavaria. Furthermore, KORA research was supported within the Munich Center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>of Health Sciences (MC-Health), Ludwig-Maximilians-Universität, as part of LMUinnovativ and by the Competence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>Network Asthma and COPD (ASCONET), network COSYCONET (subproject 2, BMBF FKZ 01GI0882) funded by the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sz w:val="22"/>
          <w:szCs w:val="22"/>
          <w:lang w:val="en-GB"/>
        </w:rPr>
        <w:t>German Federal Ministry of Education and Research (BMBF).</w:t>
      </w:r>
    </w:p>
    <w:p w:rsidR="004A5168" w:rsidRDefault="00B25F64" w:rsidP="007725D8">
      <w:pPr>
        <w:pStyle w:val="NormalWeb"/>
      </w:pPr>
      <w:r>
        <w:t>Genotypes were available on Affymetrix Axiom chips</w:t>
      </w:r>
      <w:r w:rsidR="002B56D2">
        <w:t xml:space="preserve"> on 3788 individuals</w:t>
      </w:r>
      <w:r>
        <w:t xml:space="preserve">. </w:t>
      </w:r>
      <w:r w:rsidR="00990D93"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8D66D9">
        <w:t xml:space="preserve">IBD information was obtained via KING 2.1.6. </w:t>
      </w:r>
      <w:r w:rsidR="00535345">
        <w:t>The total number of variants were 81,651,446.</w:t>
      </w:r>
    </w:p>
    <w:p w:rsidR="00E1178B" w:rsidRDefault="00307836" w:rsidP="00E1178B">
      <w:pPr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b/>
        </w:rPr>
        <w:t>MadCam</w:t>
      </w:r>
      <w:r>
        <w:t>.</w:t>
      </w:r>
      <w:r w:rsidR="00E1178B">
        <w:t xml:space="preserve"> 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The MadCam trial samples were all from baseline but the patients included were moderate ulcerative cholitis. Several details on the trial are available from</w:t>
      </w:r>
      <w:r w:rsidR="00ED3AFE">
        <w:rPr>
          <w:rFonts w:ascii="Tahoma" w:eastAsia="Times New Roman" w:hAnsi="Tahoma" w:cs="Tahoma"/>
          <w:color w:val="000000"/>
          <w:sz w:val="20"/>
          <w:szCs w:val="20"/>
        </w:rPr>
        <w:t xml:space="preserve"> </w:t>
      </w:r>
      <w:hyperlink r:id="rId17" w:history="1">
        <w:r w:rsidR="00ED3AFE" w:rsidRPr="00F00BC5">
          <w:rPr>
            <w:rStyle w:val="Hyperlink"/>
            <w:color w:val="000000" w:themeColor="text1"/>
          </w:rPr>
          <w:t>Vermeire S</w:t>
        </w:r>
      </w:hyperlink>
      <w:r w:rsidR="00ED3AFE">
        <w:rPr>
          <w:color w:val="000000" w:themeColor="text1"/>
        </w:rPr>
        <w:t>, et al. (2017)</w:t>
      </w:r>
      <w:r w:rsidR="00E1178B">
        <w:rPr>
          <w:rFonts w:ascii="Tahoma" w:eastAsia="Times New Roman" w:hAnsi="Tahoma" w:cs="Tahoma"/>
          <w:color w:val="000000"/>
          <w:sz w:val="20"/>
          <w:szCs w:val="20"/>
        </w:rPr>
        <w:t>.</w:t>
      </w:r>
    </w:p>
    <w:p w:rsidR="002D4B96" w:rsidRDefault="002D4B96" w:rsidP="008371A5">
      <w:pPr>
        <w:autoSpaceDE w:val="0"/>
        <w:autoSpaceDN w:val="0"/>
        <w:adjustRightInd w:val="0"/>
        <w:spacing w:after="0"/>
        <w:rPr>
          <w:rFonts w:ascii="Calibri" w:hAnsi="Calibri" w:cs="Calibri"/>
          <w:sz w:val="22"/>
          <w:szCs w:val="22"/>
          <w:lang w:val="en-GB"/>
        </w:rPr>
      </w:pPr>
      <w:r w:rsidRPr="002D4B96">
        <w:rPr>
          <w:b/>
        </w:rPr>
        <w:t>NSPHS</w:t>
      </w:r>
      <w:r>
        <w:t>.</w:t>
      </w:r>
      <w:r w:rsidR="00E46136">
        <w:t xml:space="preserve"> </w:t>
      </w:r>
      <w:r w:rsidR="00E46136">
        <w:rPr>
          <w:rFonts w:ascii="Calibri" w:hAnsi="Calibri" w:cs="Calibri"/>
          <w:sz w:val="22"/>
          <w:szCs w:val="22"/>
          <w:lang w:val="en-GB"/>
        </w:rPr>
        <w:t>Swedish Medical Research Council (K2007-66X-20270-01-3, 2011-5252, 2012-2884 and 2011-2354), the</w:t>
      </w:r>
      <w:r w:rsidR="00E46136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E46136">
        <w:rPr>
          <w:rFonts w:ascii="Calibri" w:hAnsi="Calibri" w:cs="Calibri"/>
          <w:sz w:val="22"/>
          <w:szCs w:val="22"/>
          <w:lang w:val="en-GB"/>
        </w:rPr>
        <w:t>Foundation for Strategic Research (SSF). NSPHS as part of European Special Populations Research Network</w:t>
      </w:r>
      <w:r w:rsidR="008371A5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E46136">
        <w:rPr>
          <w:rFonts w:ascii="Calibri" w:hAnsi="Calibri" w:cs="Calibri"/>
          <w:sz w:val="22"/>
          <w:szCs w:val="22"/>
          <w:lang w:val="en-GB"/>
        </w:rPr>
        <w:t>(EUROSPAN) was also supported by the European Commission FP6 STRP (01947, LSHG-CT-2006-01947).</w:t>
      </w:r>
    </w:p>
    <w:p w:rsidR="008371A5" w:rsidRDefault="008371A5" w:rsidP="008371A5">
      <w:pPr>
        <w:autoSpaceDE w:val="0"/>
        <w:autoSpaceDN w:val="0"/>
        <w:adjustRightInd w:val="0"/>
        <w:spacing w:after="0"/>
      </w:pPr>
    </w:p>
    <w:p w:rsidR="006005EA" w:rsidRDefault="000815FA" w:rsidP="006005EA">
      <w:pPr>
        <w:autoSpaceDE w:val="0"/>
        <w:autoSpaceDN w:val="0"/>
        <w:adjustRightInd w:val="0"/>
        <w:spacing w:after="0"/>
      </w:pPr>
      <w:r>
        <w:rPr>
          <w:b/>
        </w:rPr>
        <w:t>ORCADES</w:t>
      </w:r>
      <w:r>
        <w:t>.</w:t>
      </w:r>
      <w:r w:rsidR="00BA66CC">
        <w:t xml:space="preserve"> </w:t>
      </w:r>
      <w:r w:rsidR="006005EA">
        <w:rPr>
          <w:rFonts w:ascii="Calibri" w:hAnsi="Calibri" w:cs="Calibri"/>
          <w:sz w:val="22"/>
          <w:szCs w:val="22"/>
          <w:lang w:val="en-GB"/>
        </w:rPr>
        <w:t>Supported by the Chief Scientist Office of the Scottish Government (CZB/4/276, CZB/4/710), the Royal</w:t>
      </w:r>
      <w:r w:rsidR="006005EA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6005EA">
        <w:rPr>
          <w:rFonts w:ascii="Calibri" w:hAnsi="Calibri" w:cs="Calibri"/>
          <w:sz w:val="22"/>
          <w:szCs w:val="22"/>
          <w:lang w:val="en-GB"/>
        </w:rPr>
        <w:t>Society, the MRC Human Genetics Unit, Arthritis Research UK and the European Union framework program 6</w:t>
      </w:r>
      <w:r w:rsidR="006005EA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6005EA">
        <w:rPr>
          <w:rFonts w:ascii="Calibri" w:hAnsi="Calibri" w:cs="Calibri"/>
          <w:sz w:val="22"/>
          <w:szCs w:val="22"/>
          <w:lang w:val="en-GB"/>
        </w:rPr>
        <w:t>EUROSPAN project (contract no. LSHG-CT-2006-018947). ORCADES DNA extractions were performed at</w:t>
      </w:r>
      <w:r w:rsidR="006005EA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6005EA">
        <w:rPr>
          <w:rFonts w:ascii="Calibri" w:hAnsi="Calibri" w:cs="Calibri"/>
          <w:sz w:val="22"/>
          <w:szCs w:val="22"/>
          <w:lang w:val="en-GB"/>
        </w:rPr>
        <w:t>the Wellcome Trust Clinical Research Facility in Edinburgh.</w:t>
      </w:r>
    </w:p>
    <w:p w:rsidR="000815FA" w:rsidRDefault="00BA66CC" w:rsidP="007725D8">
      <w:pPr>
        <w:pStyle w:val="NormalWeb"/>
      </w:pPr>
      <w:r>
        <w:lastRenderedPageBreak/>
        <w:t>Imputation panel was HRC.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56A02" w:rsidRDefault="000815FA" w:rsidP="00056A02">
      <w:pPr>
        <w:pStyle w:val="BodyText"/>
      </w:pPr>
      <w:r>
        <w:rPr>
          <w:b/>
        </w:rPr>
        <w:t>VIS</w:t>
      </w:r>
      <w:r>
        <w:t>.</w:t>
      </w:r>
      <w:r w:rsidR="00056A02" w:rsidRPr="00056A02">
        <w:t xml:space="preserve"> </w:t>
      </w:r>
      <w:r w:rsidR="00BA66CC">
        <w:t>Imputation panel was HRC.</w:t>
      </w:r>
    </w:p>
    <w:p w:rsidR="00056A02" w:rsidRDefault="00056A02" w:rsidP="00056A02">
      <w:pPr>
        <w:pStyle w:val="Heading2"/>
      </w:pPr>
      <w:r>
        <w:t>References</w:t>
      </w:r>
    </w:p>
    <w:p w:rsidR="00F00BC5" w:rsidRDefault="004B69E1" w:rsidP="00056A02">
      <w:pPr>
        <w:pStyle w:val="NormalWeb"/>
      </w:pPr>
      <w:hyperlink r:id="rId18" w:history="1">
        <w:r w:rsidR="00F00BC5" w:rsidRPr="00F00BC5">
          <w:rPr>
            <w:rStyle w:val="Hyperlink"/>
            <w:color w:val="000000" w:themeColor="text1"/>
          </w:rPr>
          <w:t>Vermeire S</w:t>
        </w:r>
      </w:hyperlink>
      <w:r w:rsidR="00F00BC5">
        <w:rPr>
          <w:color w:val="000000" w:themeColor="text1"/>
        </w:rPr>
        <w:t xml:space="preserve">, et al. (2017). </w:t>
      </w:r>
      <w:r w:rsidR="00F00BC5" w:rsidRPr="00F00BC5">
        <w:t>Anti-MAdCAM antibody (PF-00547659) for ulcerative colitis (TURANDOT): a phase 2, randomised, double-blind, placebo-controlled trial.</w:t>
      </w:r>
      <w:r w:rsidR="00F00BC5">
        <w:t xml:space="preserve">  </w:t>
      </w:r>
      <w:r w:rsidR="00F00BC5">
        <w:rPr>
          <w:i/>
        </w:rPr>
        <w:t xml:space="preserve">Lancet </w:t>
      </w:r>
      <w:r w:rsidR="00F00BC5">
        <w:t>390(10090):135-144. doi: 10.1016/S0140-6736(17)30930-3.</w:t>
      </w:r>
    </w:p>
    <w:p w:rsidR="00CE4C25" w:rsidRDefault="00CE4C25" w:rsidP="00CE4C25">
      <w:pPr>
        <w:pStyle w:val="Heading2"/>
      </w:pPr>
      <w:r>
        <w:t>Q-Q and Manhattan plots</w:t>
      </w:r>
    </w:p>
    <w:p w:rsidR="00CE4C25" w:rsidRDefault="00CE4C25" w:rsidP="00CE4C25">
      <w:pPr>
        <w:pStyle w:val="Heading2"/>
      </w:pPr>
      <w:r>
        <w:t>LocusZoom plots</w:t>
      </w:r>
    </w:p>
    <w:p w:rsidR="00B36B41" w:rsidRDefault="00B36B41" w:rsidP="00B36B41">
      <w:pPr>
        <w:pStyle w:val="Heading2"/>
      </w:pPr>
      <w:r>
        <w:t>Forest plots</w:t>
      </w:r>
    </w:p>
    <w:p w:rsidR="00FD6D66" w:rsidRDefault="00FD6D66" w:rsidP="00FD6D66">
      <w:pPr>
        <w:pStyle w:val="Heading2"/>
      </w:pPr>
      <w:r>
        <w:t>Pathway analysis</w:t>
      </w:r>
    </w:p>
    <w:p w:rsidR="00371870" w:rsidRDefault="00371870" w:rsidP="00371870">
      <w:pPr>
        <w:pStyle w:val="Heading2"/>
      </w:pPr>
      <w:r>
        <w:t>PheWAS results</w:t>
      </w:r>
    </w:p>
    <w:p w:rsidR="00BD7AA3" w:rsidRPr="00BD7AA3" w:rsidRDefault="00BD7AA3" w:rsidP="00BD7AA3">
      <w:pPr>
        <w:pStyle w:val="Heading2"/>
      </w:pPr>
      <w:r>
        <w:t>EWAS results</w:t>
      </w:r>
    </w:p>
    <w:p w:rsidR="00077D25" w:rsidRDefault="00077D25" w:rsidP="00077D25">
      <w:pPr>
        <w:pStyle w:val="Heading2"/>
      </w:pPr>
      <w:r>
        <w:t xml:space="preserve">Supplementary </w:t>
      </w:r>
      <w:r>
        <w:t>tables</w:t>
      </w:r>
    </w:p>
    <w:p w:rsidR="00CE4C25" w:rsidRPr="000815FA" w:rsidRDefault="009A1956" w:rsidP="000725B3">
      <w:pPr>
        <w:pStyle w:val="BodyText"/>
      </w:pPr>
      <w:r>
        <w:t>Signals, cis/trans classificat</w:t>
      </w:r>
      <w:r w:rsidR="00111A83">
        <w:t>i</w:t>
      </w:r>
      <w:r>
        <w:t>on</w:t>
      </w:r>
      <w:bookmarkStart w:id="7" w:name="_GoBack"/>
      <w:bookmarkEnd w:id="7"/>
    </w:p>
    <w:sectPr w:rsidR="00CE4C25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9E1" w:rsidRDefault="004B69E1">
      <w:pPr>
        <w:spacing w:after="0"/>
      </w:pPr>
      <w:r>
        <w:separator/>
      </w:r>
    </w:p>
  </w:endnote>
  <w:endnote w:type="continuationSeparator" w:id="0">
    <w:p w:rsidR="004B69E1" w:rsidRDefault="004B69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9E1" w:rsidRDefault="004B69E1">
      <w:r>
        <w:separator/>
      </w:r>
    </w:p>
  </w:footnote>
  <w:footnote w:type="continuationSeparator" w:id="0">
    <w:p w:rsidR="004B69E1" w:rsidRDefault="004B6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50126"/>
    <w:rsid w:val="00056A02"/>
    <w:rsid w:val="000725B3"/>
    <w:rsid w:val="000728A3"/>
    <w:rsid w:val="00075A4C"/>
    <w:rsid w:val="00077D25"/>
    <w:rsid w:val="000815FA"/>
    <w:rsid w:val="000C1A32"/>
    <w:rsid w:val="000C7FBA"/>
    <w:rsid w:val="001044FD"/>
    <w:rsid w:val="00111A83"/>
    <w:rsid w:val="00127B0B"/>
    <w:rsid w:val="00141DEC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666ED"/>
    <w:rsid w:val="0027506F"/>
    <w:rsid w:val="0029113D"/>
    <w:rsid w:val="002A2060"/>
    <w:rsid w:val="002B56D2"/>
    <w:rsid w:val="002B5D6C"/>
    <w:rsid w:val="002D4B96"/>
    <w:rsid w:val="002E353A"/>
    <w:rsid w:val="003042EE"/>
    <w:rsid w:val="00307836"/>
    <w:rsid w:val="003235D1"/>
    <w:rsid w:val="003318D5"/>
    <w:rsid w:val="00332870"/>
    <w:rsid w:val="00345A1F"/>
    <w:rsid w:val="003673F4"/>
    <w:rsid w:val="00371470"/>
    <w:rsid w:val="00371870"/>
    <w:rsid w:val="0039096B"/>
    <w:rsid w:val="003917E1"/>
    <w:rsid w:val="003928AE"/>
    <w:rsid w:val="003A2BB2"/>
    <w:rsid w:val="003A720A"/>
    <w:rsid w:val="003A7CFE"/>
    <w:rsid w:val="003C031D"/>
    <w:rsid w:val="003D63BF"/>
    <w:rsid w:val="003E5987"/>
    <w:rsid w:val="003F1E68"/>
    <w:rsid w:val="003F6B11"/>
    <w:rsid w:val="0040430F"/>
    <w:rsid w:val="00405394"/>
    <w:rsid w:val="00430FE2"/>
    <w:rsid w:val="00444AB5"/>
    <w:rsid w:val="00471E92"/>
    <w:rsid w:val="004864AB"/>
    <w:rsid w:val="0049518B"/>
    <w:rsid w:val="004A10E9"/>
    <w:rsid w:val="004A5168"/>
    <w:rsid w:val="004B1E89"/>
    <w:rsid w:val="004B58B5"/>
    <w:rsid w:val="004B69E1"/>
    <w:rsid w:val="004D3D94"/>
    <w:rsid w:val="004E29B3"/>
    <w:rsid w:val="0050066E"/>
    <w:rsid w:val="0051441A"/>
    <w:rsid w:val="0053203E"/>
    <w:rsid w:val="00535345"/>
    <w:rsid w:val="005358D5"/>
    <w:rsid w:val="00540E82"/>
    <w:rsid w:val="00554B47"/>
    <w:rsid w:val="00554F50"/>
    <w:rsid w:val="005575BA"/>
    <w:rsid w:val="00560E7F"/>
    <w:rsid w:val="00574897"/>
    <w:rsid w:val="005749EA"/>
    <w:rsid w:val="00574D04"/>
    <w:rsid w:val="00576B17"/>
    <w:rsid w:val="00576DC2"/>
    <w:rsid w:val="005810C5"/>
    <w:rsid w:val="005811FB"/>
    <w:rsid w:val="00590BA4"/>
    <w:rsid w:val="00590D07"/>
    <w:rsid w:val="005C0D90"/>
    <w:rsid w:val="005D37C7"/>
    <w:rsid w:val="005F7075"/>
    <w:rsid w:val="006005EA"/>
    <w:rsid w:val="00610436"/>
    <w:rsid w:val="00627985"/>
    <w:rsid w:val="006372A4"/>
    <w:rsid w:val="00651082"/>
    <w:rsid w:val="006560FD"/>
    <w:rsid w:val="00666D3A"/>
    <w:rsid w:val="00675529"/>
    <w:rsid w:val="0068092D"/>
    <w:rsid w:val="006B026D"/>
    <w:rsid w:val="006C0D36"/>
    <w:rsid w:val="006D02B7"/>
    <w:rsid w:val="006E2666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93198"/>
    <w:rsid w:val="007A249E"/>
    <w:rsid w:val="007B39C0"/>
    <w:rsid w:val="007D1565"/>
    <w:rsid w:val="007F6345"/>
    <w:rsid w:val="00800027"/>
    <w:rsid w:val="008216E8"/>
    <w:rsid w:val="008371A5"/>
    <w:rsid w:val="00841817"/>
    <w:rsid w:val="00856AA7"/>
    <w:rsid w:val="008761AE"/>
    <w:rsid w:val="008762BF"/>
    <w:rsid w:val="00892F98"/>
    <w:rsid w:val="00894DEA"/>
    <w:rsid w:val="008A448F"/>
    <w:rsid w:val="008B5FD9"/>
    <w:rsid w:val="008C6C22"/>
    <w:rsid w:val="008D51F1"/>
    <w:rsid w:val="008D66D9"/>
    <w:rsid w:val="008D6863"/>
    <w:rsid w:val="008E705C"/>
    <w:rsid w:val="008F09E6"/>
    <w:rsid w:val="008F702C"/>
    <w:rsid w:val="00902CE7"/>
    <w:rsid w:val="00931030"/>
    <w:rsid w:val="00935A7F"/>
    <w:rsid w:val="00952A44"/>
    <w:rsid w:val="00974AA0"/>
    <w:rsid w:val="00990D93"/>
    <w:rsid w:val="0099277E"/>
    <w:rsid w:val="009A1956"/>
    <w:rsid w:val="009A299C"/>
    <w:rsid w:val="009C45A4"/>
    <w:rsid w:val="009E4385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267C5"/>
    <w:rsid w:val="00B36B41"/>
    <w:rsid w:val="00B50792"/>
    <w:rsid w:val="00B76BD9"/>
    <w:rsid w:val="00B76E29"/>
    <w:rsid w:val="00B86B75"/>
    <w:rsid w:val="00B975A0"/>
    <w:rsid w:val="00BA2CA9"/>
    <w:rsid w:val="00BA66CC"/>
    <w:rsid w:val="00BA7698"/>
    <w:rsid w:val="00BC48D5"/>
    <w:rsid w:val="00BD14D6"/>
    <w:rsid w:val="00BD1F5F"/>
    <w:rsid w:val="00BD4B3D"/>
    <w:rsid w:val="00BD7AA3"/>
    <w:rsid w:val="00BF492B"/>
    <w:rsid w:val="00BF7BA2"/>
    <w:rsid w:val="00BF7D61"/>
    <w:rsid w:val="00C073E8"/>
    <w:rsid w:val="00C27760"/>
    <w:rsid w:val="00C36279"/>
    <w:rsid w:val="00C36297"/>
    <w:rsid w:val="00C478FD"/>
    <w:rsid w:val="00CB1072"/>
    <w:rsid w:val="00CC335C"/>
    <w:rsid w:val="00CE2F57"/>
    <w:rsid w:val="00CE4C25"/>
    <w:rsid w:val="00CE76E5"/>
    <w:rsid w:val="00CE76FC"/>
    <w:rsid w:val="00CF10E0"/>
    <w:rsid w:val="00D05DCE"/>
    <w:rsid w:val="00D136DD"/>
    <w:rsid w:val="00D22166"/>
    <w:rsid w:val="00D2755D"/>
    <w:rsid w:val="00D33C47"/>
    <w:rsid w:val="00D403D4"/>
    <w:rsid w:val="00D406F6"/>
    <w:rsid w:val="00D43D05"/>
    <w:rsid w:val="00D512D4"/>
    <w:rsid w:val="00D567E8"/>
    <w:rsid w:val="00D61242"/>
    <w:rsid w:val="00D72ED5"/>
    <w:rsid w:val="00DB7EA2"/>
    <w:rsid w:val="00DD0EFC"/>
    <w:rsid w:val="00E101F3"/>
    <w:rsid w:val="00E104D1"/>
    <w:rsid w:val="00E1178B"/>
    <w:rsid w:val="00E22B0E"/>
    <w:rsid w:val="00E26B28"/>
    <w:rsid w:val="00E315A3"/>
    <w:rsid w:val="00E46136"/>
    <w:rsid w:val="00E55CE7"/>
    <w:rsid w:val="00E619F7"/>
    <w:rsid w:val="00E641EA"/>
    <w:rsid w:val="00E67F3F"/>
    <w:rsid w:val="00E908AD"/>
    <w:rsid w:val="00E92D96"/>
    <w:rsid w:val="00ED3AFE"/>
    <w:rsid w:val="00EE02B1"/>
    <w:rsid w:val="00EF1AA4"/>
    <w:rsid w:val="00F00BC5"/>
    <w:rsid w:val="00F01539"/>
    <w:rsid w:val="00F20F38"/>
    <w:rsid w:val="00F23C44"/>
    <w:rsid w:val="00F345ED"/>
    <w:rsid w:val="00F36EFB"/>
    <w:rsid w:val="00F372EC"/>
    <w:rsid w:val="00F455F0"/>
    <w:rsid w:val="00F51943"/>
    <w:rsid w:val="00F616A5"/>
    <w:rsid w:val="00F808EE"/>
    <w:rsid w:val="00F95BF7"/>
    <w:rsid w:val="00FA56DB"/>
    <w:rsid w:val="00FA614F"/>
    <w:rsid w:val="00FB2499"/>
    <w:rsid w:val="00FC5E08"/>
    <w:rsid w:val="00FC6D9B"/>
    <w:rsid w:val="00FC7C37"/>
    <w:rsid w:val="00FD630D"/>
    <w:rsid w:val="00FD6D66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506D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bitbucket.org/nygcresearch/ldetect-data" TargetMode="External"/><Relationship Id="rId18" Type="http://schemas.openxmlformats.org/officeDocument/2006/relationships/hyperlink" Target="https://www.ncbi.nlm.nih.gov/pubmed/?term=Vermeire%20S%5BAuthor%5D&amp;cauthor=true&amp;cauthor_uid=2852770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://people.virginia.edu/~wc9c/KING/" TargetMode="External"/><Relationship Id="rId17" Type="http://schemas.openxmlformats.org/officeDocument/2006/relationships/hyperlink" Target="https://www.ncbi.nlm.nih.gov/pubmed/?term=Vermeire%20S%5BAuthor%5D&amp;cauthor=true&amp;cauthor_uid=285277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prot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ran.r-project.org" TargetMode="External"/><Relationship Id="rId10" Type="http://schemas.openxmlformats.org/officeDocument/2006/relationships/hyperlink" Target="https://github.com/statgen/META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github.com/statgen/locuszoom-standa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214</cp:revision>
  <dcterms:created xsi:type="dcterms:W3CDTF">2019-01-29T13:57:00Z</dcterms:created>
  <dcterms:modified xsi:type="dcterms:W3CDTF">2019-03-06T11:28:00Z</dcterms:modified>
</cp:coreProperties>
</file>