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5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Prevalence</w:t>
      </w:r>
      <w:r>
        <w:t xml:space="preserve"> </w:t>
      </w:r>
      <w:r>
        <w:t xml:space="preserve">and</w:t>
      </w:r>
      <w:r>
        <w:t xml:space="preserve"> </w:t>
      </w:r>
      <w:r>
        <w:t xml:space="preserve">predictors</w:t>
      </w:r>
      <w:r>
        <w:t xml:space="preserve"> </w:t>
      </w:r>
      <w:r>
        <w:t xml:space="preserve">of</w:t>
      </w:r>
      <w:r>
        <w:t xml:space="preserve"> </w:t>
      </w:r>
      <w:r>
        <w:t xml:space="preserve">high</w:t>
      </w:r>
      <w:r>
        <w:t xml:space="preserve"> </w:t>
      </w:r>
      <w:r>
        <w:t xml:space="preserve">nicotine</w:t>
      </w:r>
      <w:r>
        <w:t xml:space="preserve"> </w:t>
      </w:r>
      <w:r>
        <w:t xml:space="preserve">dependence</w:t>
      </w:r>
      <w:r>
        <w:t xml:space="preserve"> </w:t>
      </w:r>
      <w:r>
        <w:t xml:space="preserve">among</w:t>
      </w:r>
      <w:r>
        <w:t xml:space="preserve"> </w:t>
      </w:r>
      <w:r>
        <w:t xml:space="preserve">adult</w:t>
      </w:r>
      <w:r>
        <w:t xml:space="preserve"> </w:t>
      </w:r>
      <w:r>
        <w:t xml:space="preserve">smokers</w:t>
      </w:r>
      <w:r>
        <w:t xml:space="preserve"> </w:t>
      </w:r>
      <w:r>
        <w:t xml:space="preserve">in</w:t>
      </w:r>
      <w:r>
        <w:t xml:space="preserve"> </w:t>
      </w:r>
      <w:r>
        <w:t xml:space="preserve">Botswana,2017</w:t>
      </w:r>
    </w:p>
    <w:p>
      <w:pPr>
        <w:pStyle w:val="Author"/>
      </w:pPr>
      <w:r>
        <w:t xml:space="preserve">Betelihem</w:t>
      </w:r>
      <w:r>
        <w:t xml:space="preserve"> </w:t>
      </w:r>
      <w:r>
        <w:t xml:space="preserve">Getachew</w:t>
      </w:r>
    </w:p>
    <w:p>
      <w:pPr>
        <w:pStyle w:val="Date"/>
      </w:pPr>
      <w:r>
        <w:t xml:space="preserve">4/9/23</w:t>
      </w:r>
    </w:p>
    <w:p>
      <w:pPr>
        <w:pStyle w:val="SourceCode"/>
      </w:pPr>
      <w:r>
        <w:rPr>
          <w:rStyle w:val="VerbatimChar"/>
        </w:rPr>
        <w:t xml:space="preserve">Warning: package 'dplyr' was built under R version 4.2.2</w:t>
      </w:r>
    </w:p>
    <w:p>
      <w:pPr>
        <w:pStyle w:val="SourceCode"/>
      </w:pPr>
      <w:r>
        <w:rPr>
          <w:rStyle w:val="VerbatimChar"/>
        </w:rPr>
        <w:t xml:space="preserve">Warning: package 'skimr' was built under R version 4.2.2</w:t>
      </w:r>
    </w:p>
    <w:p>
      <w:pPr>
        <w:pStyle w:val="SourceCode"/>
      </w:pPr>
      <w:r>
        <w:rPr>
          <w:rStyle w:val="VerbatimChar"/>
        </w:rPr>
        <w:t xml:space="preserve">Warning: package 'png' was built under R version 4.2.2</w:t>
      </w:r>
    </w:p>
    <w:bookmarkStart w:id="22" w:name="introduction"/>
    <w:p>
      <w:pPr>
        <w:pStyle w:val="Heading1"/>
      </w:pPr>
      <w:r>
        <w:t xml:space="preserve">1. Introduction</w:t>
      </w:r>
    </w:p>
    <w:bookmarkStart w:id="21" w:name="general-background-information"/>
    <w:p>
      <w:pPr>
        <w:pStyle w:val="Heading2"/>
      </w:pPr>
      <w:r>
        <w:t xml:space="preserve">1.1 General Background Information</w:t>
      </w:r>
    </w:p>
    <w:p>
      <w:pPr>
        <w:pStyle w:val="FirstParagraph"/>
      </w:pPr>
      <w:r>
        <w:t xml:space="preserve">For countries like Botswana, and other African countries the prevalence</w:t>
      </w:r>
      <w:r>
        <w:t xml:space="preserve"> </w:t>
      </w:r>
      <w:r>
        <w:t xml:space="preserve">of smoking is relatively low compared to other middle and high income</w:t>
      </w:r>
      <w:r>
        <w:t xml:space="preserve"> </w:t>
      </w:r>
      <w:r>
        <w:t xml:space="preserve">countries. However, while the smoking prevalence might be low, not much</w:t>
      </w:r>
      <w:r>
        <w:t xml:space="preserve"> </w:t>
      </w:r>
      <w:r>
        <w:t xml:space="preserve">has been said about smokers nicotine dependence in the region.</w:t>
      </w:r>
      <w:r>
        <w:t xml:space="preserve"> </w:t>
      </w:r>
      <w:r>
        <w:t xml:space="preserve">Understanding nicotine dependence among smokers provides an opportunity</w:t>
      </w:r>
      <w:r>
        <w:t xml:space="preserve"> </w:t>
      </w:r>
      <w:r>
        <w:t xml:space="preserve">for a targeted intervention strategies that are more efficient and</w:t>
      </w:r>
      <w:r>
        <w:t xml:space="preserve"> </w:t>
      </w:r>
      <w:r>
        <w:t xml:space="preserve">effective.</w:t>
      </w:r>
    </w:p>
    <w:p>
      <w:pPr>
        <w:pStyle w:val="BodyText"/>
      </w:pPr>
      <w:r>
        <w:t xml:space="preserve">Under the Global Tobacco Surveillance system Data (GTSSData) at CDC, the</w:t>
      </w:r>
      <w:r>
        <w:t xml:space="preserve"> </w:t>
      </w:r>
      <w:r>
        <w:t xml:space="preserve">Global Adult Tobacco Survey (GATS) is the global standard to</w:t>
      </w:r>
      <w:r>
        <w:t xml:space="preserve"> </w:t>
      </w:r>
      <w:r>
        <w:t xml:space="preserve">systematically monitor adult tobacco use and track key tobacco control</w:t>
      </w:r>
      <w:r>
        <w:t xml:space="preserve"> </w:t>
      </w:r>
      <w:r>
        <w:t xml:space="preserve">indicators. The survey is a nationally representative household survey</w:t>
      </w:r>
      <w:r>
        <w:t xml:space="preserve"> </w:t>
      </w:r>
      <w:r>
        <w:t xml:space="preserve">of adults 15 years of age or older, using a standard protocol. It is</w:t>
      </w:r>
      <w:r>
        <w:t xml:space="preserve"> </w:t>
      </w:r>
      <w:r>
        <w:t xml:space="preserve">intended to generate comparable data within and across countries. GATS</w:t>
      </w:r>
      <w:r>
        <w:t xml:space="preserve"> </w:t>
      </w:r>
      <w:r>
        <w:t xml:space="preserve">enhances countries’ capacity to design, implement and evaluate tobacco</w:t>
      </w:r>
      <w:r>
        <w:t xml:space="preserve"> </w:t>
      </w:r>
      <w:r>
        <w:t xml:space="preserve">control interventions (</w:t>
      </w:r>
      <w:hyperlink r:id="rId20">
        <w:r>
          <w:rPr>
            <w:rStyle w:val="Hyperlink"/>
          </w:rPr>
          <w:t xml:space="preserve">GATS Botswana Survey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2017</w:t>
        </w:r>
      </w:hyperlink>
      <w:r>
        <w:t xml:space="preserve">).</w:t>
      </w:r>
      <w:r>
        <w:t xml:space="preserve"> </w:t>
      </w:r>
      <w:r>
        <w:t xml:space="preserve">Using GATS protocol, a nationally representative sample of 4,643</w:t>
      </w:r>
      <w:r>
        <w:t xml:space="preserve"> </w:t>
      </w:r>
      <w:r>
        <w:t xml:space="preserve">participants was collected in Botswana in 2017 using a stratified</w:t>
      </w:r>
      <w:r>
        <w:t xml:space="preserve"> </w:t>
      </w:r>
      <w:r>
        <w:t xml:space="preserve">cluster sample design.</w:t>
      </w:r>
    </w:p>
    <w:p>
      <w:pPr>
        <w:pStyle w:val="BodyText"/>
      </w:pPr>
      <w:r>
        <w:t xml:space="preserve">The aim of this paper is therefor to;</w:t>
      </w:r>
    </w:p>
    <w:p>
      <w:pPr>
        <w:numPr>
          <w:ilvl w:val="0"/>
          <w:numId w:val="1001"/>
        </w:numPr>
      </w:pPr>
      <w:r>
        <w:t xml:space="preserve">Describe the prevalence of nicotine dependence in Botswana using the</w:t>
      </w:r>
      <w:r>
        <w:t xml:space="preserve"> </w:t>
      </w:r>
      <w:r>
        <w:t xml:space="preserve">Heavy Smoking Index(HSI) by Socio-demographics and other factors</w:t>
      </w:r>
    </w:p>
    <w:p>
      <w:pPr>
        <w:numPr>
          <w:ilvl w:val="0"/>
          <w:numId w:val="1001"/>
        </w:numPr>
      </w:pPr>
      <w:r>
        <w:t xml:space="preserve">Explore and Identify predictors of nicotine dependence in Botswana.</w:t>
      </w:r>
    </w:p>
    <w:bookmarkEnd w:id="21"/>
    <w:bookmarkEnd w:id="22"/>
    <w:bookmarkStart w:id="31" w:name="methods"/>
    <w:p>
      <w:pPr>
        <w:pStyle w:val="Heading1"/>
      </w:pPr>
      <w:r>
        <w:t xml:space="preserve">2. Methods</w:t>
      </w:r>
    </w:p>
    <w:p>
      <w:pPr>
        <w:pStyle w:val="FirstParagraph"/>
      </w:pPr>
      <w:r>
        <w:t xml:space="preserve">This study will conduct a secondary data analysis using the Global Adult</w:t>
      </w:r>
      <w:r>
        <w:t xml:space="preserve"> </w:t>
      </w:r>
      <w:r>
        <w:t xml:space="preserve">Tobacco Survey (GATS) Botswana as described above. The survey data</w:t>
      </w:r>
      <w:r>
        <w:t xml:space="preserve"> </w:t>
      </w:r>
      <w:r>
        <w:t xml:space="preserve">collection was completed in 2017. The sample design is a multi-stage,</w:t>
      </w:r>
      <w:r>
        <w:t xml:space="preserve"> </w:t>
      </w:r>
      <w:r>
        <w:t xml:space="preserve">geographically clustered probability sample design to produce nationally</w:t>
      </w:r>
      <w:r>
        <w:t xml:space="preserve"> </w:t>
      </w:r>
      <w:r>
        <w:t xml:space="preserve">representative data. First, households are randomly selected, then one</w:t>
      </w:r>
      <w:r>
        <w:t xml:space="preserve"> </w:t>
      </w:r>
      <w:r>
        <w:t xml:space="preserve">individual is randomly chosen from each selected household to</w:t>
      </w:r>
      <w:r>
        <w:t xml:space="preserve"> </w:t>
      </w:r>
      <w:r>
        <w:t xml:space="preserve">participate in the survey. The random selection of households and</w:t>
      </w:r>
      <w:r>
        <w:t xml:space="preserve"> </w:t>
      </w:r>
      <w:r>
        <w:t xml:space="preserve">participants allows for an unbiased, randomly selected, and nationally</w:t>
      </w:r>
      <w:r>
        <w:t xml:space="preserve"> </w:t>
      </w:r>
      <w:r>
        <w:t xml:space="preserve">representative sample of the larger population. The cluster sampling</w:t>
      </w:r>
      <w:r>
        <w:t xml:space="preserve"> </w:t>
      </w:r>
      <w:r>
        <w:t xml:space="preserve">allows representation in gender and urbanicity. More details on the</w:t>
      </w:r>
      <w:r>
        <w:t xml:space="preserve"> </w:t>
      </w:r>
      <w:r>
        <w:t xml:space="preserve">Global Adult Tobacco Survey implementation process can be found</w:t>
      </w:r>
      <w:r>
        <w:t xml:space="preserve"> </w:t>
      </w:r>
      <w:r>
        <w:t xml:space="preserve">elsewhere (</w:t>
      </w:r>
      <w:hyperlink r:id="rId23">
        <w:r>
          <w:rPr>
            <w:rStyle w:val="Hyperlink"/>
          </w:rPr>
          <w:t xml:space="preserve">GATS Implementation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Protocol</w:t>
        </w:r>
      </w:hyperlink>
      <w:r>
        <w:t xml:space="preserve">).</w:t>
      </w:r>
    </w:p>
    <w:p>
      <w:pPr>
        <w:pStyle w:val="BodyText"/>
      </w:pPr>
      <w:r>
        <w:t xml:space="preserve">A total of 608 variables covering topics of socio-demographic, tobacco</w:t>
      </w:r>
      <w:r>
        <w:t xml:space="preserve"> </w:t>
      </w:r>
      <w:r>
        <w:t xml:space="preserve">smoking, smokeless tobacco, cessation both smoking and smokeless,</w:t>
      </w:r>
      <w:r>
        <w:t xml:space="preserve"> </w:t>
      </w:r>
      <w:r>
        <w:t xml:space="preserve">economics, media and knowledge, attitude and perceptions of tobacco were</w:t>
      </w:r>
      <w:r>
        <w:t xml:space="preserve"> </w:t>
      </w:r>
      <w:r>
        <w:t xml:space="preserve">collected in this survey. While the outcome measure of interest</w:t>
      </w:r>
      <w:r>
        <w:t xml:space="preserve"> </w:t>
      </w:r>
      <w:r>
        <w:t xml:space="preserve">“</w:t>
      </w:r>
      <w:r>
        <w:t xml:space="preserve">Nicotine dependence</w:t>
      </w:r>
      <w:r>
        <w:t xml:space="preserve">”</w:t>
      </w:r>
      <w:r>
        <w:t xml:space="preserve"> </w:t>
      </w:r>
      <w:r>
        <w:t xml:space="preserve">is not directly collected, the measure for</w:t>
      </w:r>
      <w:r>
        <w:t xml:space="preserve"> </w:t>
      </w:r>
      <w:r>
        <w:t xml:space="preserve">nicotine dependence, also known as the Heavy Smoking Index (HSI), will</w:t>
      </w:r>
      <w:r>
        <w:t xml:space="preserve"> </w:t>
      </w:r>
      <w:r>
        <w:t xml:space="preserve">be calculated as a score using two question items from the tobacco</w:t>
      </w:r>
      <w:r>
        <w:t xml:space="preserve"> </w:t>
      </w:r>
      <w:r>
        <w:t xml:space="preserve">smoking section on the survey questionnaire (</w:t>
      </w:r>
      <w:hyperlink r:id="rId24">
        <w:r>
          <w:rPr>
            <w:rStyle w:val="Hyperlink"/>
          </w:rPr>
          <w:t xml:space="preserve">Heaviness of Smoking Index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| Data Share 2.0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(nih.gov)</w:t>
        </w:r>
      </w:hyperlink>
      <w:r>
        <w:t xml:space="preserve">.</w:t>
      </w:r>
      <w:r>
        <w:t xml:space="preserve"> </w:t>
      </w:r>
      <w:r>
        <w:t xml:space="preserve">Based on the HSI scores, smokers will be categorized into low addiction</w:t>
      </w:r>
      <w:r>
        <w:t xml:space="preserve"> </w:t>
      </w:r>
      <w:r>
        <w:t xml:space="preserve">(score 0-2), medium addiction (score 3-4), high addiction (5-6). For</w:t>
      </w:r>
      <w:r>
        <w:t xml:space="preserve"> </w:t>
      </w:r>
      <w:r>
        <w:t xml:space="preserve">this analysis, in consultation with other literature, scores 0 to 3 are</w:t>
      </w:r>
      <w:r>
        <w:t xml:space="preserve"> </w:t>
      </w:r>
      <w:r>
        <w:t xml:space="preserve">categorized as low addiction and scores 4 to 6 are categorized as high</w:t>
      </w:r>
      <w:r>
        <w:t xml:space="preserve"> </w:t>
      </w:r>
      <w:r>
        <w:t xml:space="preserve">addiction.</w:t>
      </w:r>
    </w:p>
    <w:bookmarkStart w:id="25" w:name="measurements"/>
    <w:p>
      <w:pPr>
        <w:pStyle w:val="Heading2"/>
      </w:pPr>
      <w:r>
        <w:t xml:space="preserve">2.1 Measurements</w:t>
      </w:r>
    </w:p>
    <w:p>
      <w:pPr>
        <w:pStyle w:val="FirstParagraph"/>
      </w:pPr>
      <w:r>
        <w:t xml:space="preserve">The outcome of interest is HSI: Heavy Smoking Index. Independent</w:t>
      </w:r>
      <w:r>
        <w:t xml:space="preserve"> </w:t>
      </w:r>
      <w:r>
        <w:t xml:space="preserve">variables explored in this analysis include AGE: Current age of smokers,</w:t>
      </w:r>
      <w:r>
        <w:t xml:space="preserve"> </w:t>
      </w:r>
      <w:r>
        <w:t xml:space="preserve">A01: Gender A04:Education level, A05: Employment status, A11: Marital</w:t>
      </w:r>
      <w:r>
        <w:t xml:space="preserve"> </w:t>
      </w:r>
      <w:r>
        <w:t xml:space="preserve">Status, RESIDENCE: Residence of participants, B04: Age of smoking</w:t>
      </w:r>
      <w:r>
        <w:t xml:space="preserve"> </w:t>
      </w:r>
      <w:r>
        <w:t xml:space="preserve">initiation, D01: Smoking quit attempt, D08: Smoking intent to quit</w:t>
      </w:r>
    </w:p>
    <w:bookmarkEnd w:id="25"/>
    <w:bookmarkStart w:id="29" w:name="data-import-and-cleaning"/>
    <w:p>
      <w:pPr>
        <w:pStyle w:val="Heading2"/>
      </w:pPr>
      <w:r>
        <w:t xml:space="preserve">2.2 Data import and cleaning</w:t>
      </w:r>
    </w:p>
    <w:p>
      <w:pPr>
        <w:pStyle w:val="FirstParagraph"/>
      </w:pPr>
      <w:r>
        <w:t xml:space="preserve">An SPSS data file was</w:t>
      </w:r>
      <w:r>
        <w:t xml:space="preserve"> </w:t>
      </w:r>
      <w:hyperlink r:id="rId20">
        <w:r>
          <w:rPr>
            <w:rStyle w:val="Hyperlink"/>
          </w:rPr>
          <w:t xml:space="preserve">downloaded from GTSS Info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and imported into R. The code for importing and cleaning the dataset is</w:t>
      </w:r>
      <w:r>
        <w:t xml:space="preserve"> </w:t>
      </w:r>
      <w:r>
        <w:t xml:space="preserve">documented in the R script file titled</w:t>
      </w:r>
      <w:r>
        <w:t xml:space="preserve"> </w:t>
      </w:r>
      <w:r>
        <w:t xml:space="preserve">“</w:t>
      </w:r>
      <w:r>
        <w:t xml:space="preserve">processingcode.R</w:t>
      </w:r>
      <w:r>
        <w:t xml:space="preserve">”</w:t>
      </w:r>
      <w:r>
        <w:t xml:space="preserve">. The raw</w:t>
      </w:r>
      <w:r>
        <w:t xml:space="preserve"> </w:t>
      </w:r>
      <w:r>
        <w:t xml:space="preserve">dataset contained 4643 observations and 608 variables, of which 591</w:t>
      </w:r>
      <w:r>
        <w:t xml:space="preserve"> </w:t>
      </w:r>
      <w:r>
        <w:t xml:space="preserve">variables were filtered out. Only 17 variables were considered for</w:t>
      </w:r>
      <w:r>
        <w:t xml:space="preserve"> </w:t>
      </w:r>
      <w:r>
        <w:t xml:space="preserve">further examination.The variables of interest included</w:t>
      </w:r>
      <w:r>
        <w:t xml:space="preserve"> </w:t>
      </w:r>
      <w:r>
        <w:t xml:space="preserve">socio-demographics, smoking status, smoking behaviors, cessation and</w:t>
      </w:r>
      <w:r>
        <w:t xml:space="preserve"> </w:t>
      </w:r>
      <w:r>
        <w:t xml:space="preserve">media exposure. The 18th variable was computed by summing two variables</w:t>
      </w:r>
      <w:r>
        <w:t xml:space="preserve"> </w:t>
      </w:r>
      <w:r>
        <w:t xml:space="preserve">(B01 + B07) to create the Heavy Smoking Index (HSI) Score, a proxy for</w:t>
      </w:r>
      <w:r>
        <w:t xml:space="preserve"> </w:t>
      </w:r>
      <w:r>
        <w:t xml:space="preserve">examining nicotine dependence. The number of observations was further</w:t>
      </w:r>
      <w:r>
        <w:t xml:space="preserve"> </w:t>
      </w:r>
      <w:r>
        <w:t xml:space="preserve">reduced by including only daily and less than daily smokers leaving a</w:t>
      </w:r>
      <w:r>
        <w:t xml:space="preserve"> </w:t>
      </w:r>
      <w:r>
        <w:t xml:space="preserve">total of 631 observations. The dataset was examined for outliers,</w:t>
      </w:r>
      <w:r>
        <w:t xml:space="preserve"> </w:t>
      </w:r>
      <w:r>
        <w:t xml:space="preserve">distribution, class appropriation. Recatagorization of response options</w:t>
      </w:r>
      <w:r>
        <w:t xml:space="preserve"> </w:t>
      </w:r>
      <w:r>
        <w:t xml:space="preserve">was conducted when appropriate. After the removal of missing and outlier</w:t>
      </w:r>
      <w:r>
        <w:t xml:space="preserve"> </w:t>
      </w:r>
      <w:r>
        <w:t xml:space="preserve">values, a total of 416 observations and 8 variables were saved for data</w:t>
      </w:r>
      <w:r>
        <w:t xml:space="preserve"> </w:t>
      </w:r>
      <w:r>
        <w:t xml:space="preserve">exploration.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3267075" cy="2708069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images/paste-89A08E08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7075" cy="27080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—- exploredata ——–</w:t>
      </w:r>
    </w:p>
    <w:bookmarkEnd w:id="29"/>
    <w:bookmarkStart w:id="30" w:name="statistical-analysis"/>
    <w:p>
      <w:pPr>
        <w:pStyle w:val="Heading2"/>
      </w:pPr>
      <w:r>
        <w:t xml:space="preserve">2.3 Statistical analysis</w:t>
      </w:r>
    </w:p>
    <w:p>
      <w:pPr>
        <w:pStyle w:val="FirstParagraph"/>
      </w:pPr>
      <w:r>
        <w:rPr>
          <w:iCs/>
          <w:i/>
        </w:rPr>
        <w:t xml:space="preserve">Explain anything related to your statistical analyses.</w:t>
      </w:r>
    </w:p>
    <w:bookmarkEnd w:id="30"/>
    <w:bookmarkEnd w:id="31"/>
    <w:bookmarkStart w:id="51" w:name="results"/>
    <w:p>
      <w:pPr>
        <w:pStyle w:val="Heading1"/>
      </w:pPr>
      <w:r>
        <w:t xml:space="preserve">3. Results</w:t>
      </w:r>
    </w:p>
    <w:bookmarkStart w:id="38" w:name="exploratorydescriptive-analysis"/>
    <w:p>
      <w:pPr>
        <w:pStyle w:val="Heading2"/>
      </w:pPr>
      <w:r>
        <w:t xml:space="preserve">3.1 Exploratory/Descriptive analysis</w:t>
      </w:r>
    </w:p>
    <w:p>
      <w:pPr>
        <w:pStyle w:val="FirstParagraph"/>
      </w:pPr>
      <w:r>
        <w:t xml:space="preserve">In this sample of smokers, males with a median age of 35 years, those</w:t>
      </w:r>
      <w:r>
        <w:t xml:space="preserve"> </w:t>
      </w:r>
      <w:r>
        <w:t xml:space="preserve">with secondary education and employed and belonging to the lowest wealth</w:t>
      </w:r>
      <w:r>
        <w:t xml:space="preserve"> </w:t>
      </w:r>
      <w:r>
        <w:t xml:space="preserve">index had high nicotine addiction. There was also higher proportion of</w:t>
      </w:r>
      <w:r>
        <w:t xml:space="preserve"> </w:t>
      </w:r>
      <w:r>
        <w:t xml:space="preserve">smokers who are single, live in rural for high addiction. Interms of</w:t>
      </w:r>
      <w:r>
        <w:t xml:space="preserve"> </w:t>
      </w:r>
      <w:r>
        <w:t xml:space="preserve">behavior, more than half of those in the high addiction catagory made a</w:t>
      </w:r>
      <w:r>
        <w:t xml:space="preserve"> </w:t>
      </w:r>
      <w:r>
        <w:t xml:space="preserve">quit attempt. similarly , the majoirty of smokers had no intent to quit</w:t>
      </w:r>
      <w:r>
        <w:t xml:space="preserve"> </w:t>
      </w:r>
      <w:r>
        <w:t xml:space="preserve">within the next year . All codes related to data exploration are saved</w:t>
      </w:r>
      <w:r>
        <w:t xml:space="preserve"> </w:t>
      </w:r>
      <w:r>
        <w:t xml:space="preserve">under code/analysis_code with a file name of exploratorycodeR.R. All</w:t>
      </w:r>
      <w:r>
        <w:t xml:space="preserve"> </w:t>
      </w:r>
      <w:r>
        <w:t xml:space="preserve">tables and figures listed below are saved under results folder</w:t>
      </w:r>
    </w:p>
    <w:p>
      <w:pPr>
        <w:pStyle w:val="BodyText"/>
      </w:pPr>
      <w:r>
        <w:t xml:space="preserve">(</w:t>
      </w:r>
      <w:r>
        <w:rPr>
          <w:bCs/>
          <w:b/>
        </w:rPr>
        <w:t xml:space="preserve">Table1_Demographics?</w:t>
      </w:r>
      <w:r>
        <w:t xml:space="preserve">)</w:t>
      </w:r>
      <w:r>
        <w:t xml:space="preserve"> </w:t>
      </w:r>
      <w:r>
        <w:t xml:space="preserve">Shows the demographics of the sample population</w:t>
      </w:r>
    </w:p>
    <w:p>
      <w:pPr>
        <w:pStyle w:val="SourceCode"/>
      </w:pPr>
      <w:r>
        <w:rPr>
          <w:rStyle w:val="NormalTok"/>
        </w:rPr>
        <w:t xml:space="preserve">result_table1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"Table1_Demographics.rds"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result_table1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 Addiction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Addiction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Overall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(N=192)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(N=226)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(N=418)</w:t>
            </w:r>
          </w:p>
        </w:tc>
      </w:tr>
      <w:tr>
        <w:tc>
          <w:tcPr>
            <w:gridSpan w:val="4"/>
          </w:tcPr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factor(A01)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 (13.5%)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 (14.6%)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 (14.1%)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166 (86.5%)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193 (85.4%)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359 (85.9%)</w:t>
            </w:r>
          </w:p>
        </w:tc>
      </w:tr>
      <w:tr>
        <w:tc>
          <w:tcPr>
            <w:gridSpan w:val="4"/>
          </w:tcPr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40.1 (14.2)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40.6 (15.5)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40.4 (14.9)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 [Min, Max]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35.0 [19.0, 77.0]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38.0 [16.0, 97.0]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37.0 [16.0, 97.0]</w:t>
            </w:r>
          </w:p>
        </w:tc>
      </w:tr>
      <w:tr>
        <w:tc>
          <w:tcPr>
            <w:gridSpan w:val="4"/>
          </w:tcPr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22.4 (8.95)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20.2 (6.54)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21.2 (7.81)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 [Min, Max]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20.0 [1.00, 70.0]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19.0 [5.00, 52.0]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20.0 [1.00, 70.0]</w:t>
            </w:r>
          </w:p>
        </w:tc>
      </w:tr>
      <w:tr>
        <w:tc>
          <w:tcPr>
            <w:gridSpan w:val="4"/>
          </w:tcPr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factor(A04)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College and above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 (14.1%)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 (14.2%)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 (14.1%)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 Formal Education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 (16.7%)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 (21.2%)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 (19.1%)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Primary Education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 (19.3%)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 (19.0%)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 (19.1%)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Secondary Education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 (50.0%)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 (44.7%)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197 (47.1%)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(0.9%)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(0.5%)</w:t>
            </w:r>
          </w:p>
        </w:tc>
      </w:tr>
      <w:tr>
        <w:tc>
          <w:tcPr>
            <w:gridSpan w:val="4"/>
          </w:tcPr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factor(A05)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Employed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 (56.3%)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122 (54.0%)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 (55.0%)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Unemployed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 (43.8%)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 (46.0%)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 (45.0%)</w:t>
            </w:r>
          </w:p>
        </w:tc>
      </w:tr>
      <w:tr>
        <w:tc>
          <w:tcPr>
            <w:gridSpan w:val="4"/>
          </w:tcPr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factor(Wealth)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 (10.9%)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 (12.4%)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 (11.7%)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Higher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 (17.7%)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 (17.7%)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 (17.7%)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 (8.9%)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 (7.1%)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 (7.9%)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 (44.8%)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 (43.8%)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 (44.3%)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Middle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 (17.7%)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 (19.0%)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 (18.4%)</w:t>
            </w:r>
          </w:p>
        </w:tc>
      </w:tr>
      <w:tr>
        <w:tc>
          <w:tcPr>
            <w:gridSpan w:val="4"/>
          </w:tcPr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factor(A11)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 (10.9%)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 (15.0%)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 (13.2%)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Single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171 (89.1%)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 (85.0%)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363 (86.8%)</w:t>
            </w:r>
          </w:p>
        </w:tc>
      </w:tr>
      <w:tr>
        <w:tc>
          <w:tcPr>
            <w:gridSpan w:val="4"/>
          </w:tcPr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factor(RESIDENCE)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 (56.8%)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123 (54.4%)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232 (55.5%)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Urban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 (43.2%)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 (45.6%)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186 (44.5%)</w:t>
            </w:r>
          </w:p>
        </w:tc>
      </w:tr>
      <w:tr>
        <w:tc>
          <w:tcPr>
            <w:gridSpan w:val="4"/>
          </w:tcPr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factor(D01)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 (44.3%)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111 (49.1%)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196 (46.9%)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 (55.7%)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115 (50.9%)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222 (53.1%)</w:t>
            </w:r>
          </w:p>
        </w:tc>
      </w:tr>
      <w:tr>
        <w:tc>
          <w:tcPr>
            <w:gridSpan w:val="4"/>
          </w:tcPr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factor(D08)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 (66.7%)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 (76.5%)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301 (72.0%)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 (32.8%)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 (23.5%)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 (27.8%)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(0.5%)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(0.2%)</w:t>
            </w:r>
          </w:p>
        </w:tc>
      </w:tr>
    </w:tbl>
    <w:p>
      <w:pPr>
        <w:pStyle w:val="BodyText"/>
      </w:pPr>
      <w:r>
        <w:t xml:space="preserve">The data also shows the mean age of those with high addiction to be</w:t>
      </w:r>
      <w:r>
        <w:t xml:space="preserve"> </w:t>
      </w:r>
      <w:r>
        <w:t xml:space="preserve">lower than the mean age of those with low addiction. This is contrary to</w:t>
      </w:r>
      <w:r>
        <w:t xml:space="preserve"> </w:t>
      </w:r>
      <w:r>
        <w:t xml:space="preserve">the belief that older smokers have higher addiction when compared to</w:t>
      </w:r>
      <w:r>
        <w:t xml:space="preserve"> </w:t>
      </w:r>
      <w:r>
        <w:t xml:space="preserve">younger smokers.</w:t>
      </w:r>
    </w:p>
    <w:p>
      <w:pPr>
        <w:pStyle w:val="BodyText"/>
      </w:pPr>
      <w:r>
        <w:t xml:space="preserve">(</w:t>
      </w:r>
      <w:r>
        <w:rPr>
          <w:bCs/>
          <w:b/>
        </w:rPr>
        <w:t xml:space="preserve">figure1?</w:t>
      </w:r>
      <w:r>
        <w:t xml:space="preserve">)</w:t>
      </w:r>
      <w:r>
        <w:t xml:space="preserve"> </w:t>
      </w:r>
      <w:r>
        <w:t xml:space="preserve">shows a boxplot showing HSI Group mean by age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gure"/>
              <w:jc w:val="center"/>
            </w:pPr>
            <w:r>
              <w:drawing>
                <wp:inline>
                  <wp:extent cx="5334000" cy="4002132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../../results/AgeVSHSI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21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HSI By Age.</w:t>
            </w:r>
          </w:p>
        </w:tc>
      </w:tr>
    </w:tbl>
    <w:p>
      <w:pPr>
        <w:pStyle w:val="BodyText"/>
      </w:pPr>
      <w:r>
        <w:t xml:space="preserve">Interms of age of smoking initiation, those in the high addiction group</w:t>
      </w:r>
      <w:r>
        <w:t xml:space="preserve"> </w:t>
      </w:r>
      <w:r>
        <w:t xml:space="preserve">have a mean age of smoking initiation slightly higher than those in the</w:t>
      </w:r>
      <w:r>
        <w:t xml:space="preserve"> </w:t>
      </w:r>
      <w:r>
        <w:t xml:space="preserve">low addicition group. This again is contrary to the literature out there</w:t>
      </w:r>
      <w:r>
        <w:t xml:space="preserve"> </w:t>
      </w:r>
      <w:r>
        <w:t xml:space="preserve">that suggests starting smoking early leads to high addiction in</w:t>
      </w:r>
      <w:r>
        <w:t xml:space="preserve"> </w:t>
      </w:r>
      <w:r>
        <w:t xml:space="preserve">adulthood.</w:t>
      </w:r>
    </w:p>
    <w:p>
      <w:pPr>
        <w:pStyle w:val="BodyText"/>
      </w:pPr>
      <w:r>
        <w:t xml:space="preserve">(</w:t>
      </w:r>
      <w:r>
        <w:rPr>
          <w:bCs/>
          <w:b/>
        </w:rPr>
        <w:t xml:space="preserve">figure2?</w:t>
      </w:r>
      <w:r>
        <w:t xml:space="preserve">)</w:t>
      </w:r>
      <w:r>
        <w:t xml:space="preserve"> </w:t>
      </w:r>
      <w:r>
        <w:t xml:space="preserve">shows a boxplot showing HSI Group mean age of smoking</w:t>
      </w:r>
      <w:r>
        <w:t xml:space="preserve"> </w:t>
      </w:r>
      <w:r>
        <w:t xml:space="preserve">initiation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gure"/>
              <w:jc w:val="center"/>
            </w:pPr>
            <w:r>
              <w:drawing>
                <wp:inline>
                  <wp:extent cx="5334000" cy="4002132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../../results/BO4vsHSI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21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HSI By Age of smoking Initiation.</w:t>
            </w:r>
          </w:p>
        </w:tc>
      </w:tr>
    </w:tbl>
    <w:bookmarkEnd w:id="38"/>
    <w:bookmarkStart w:id="39" w:name="basic-statistical-analysis"/>
    <w:p>
      <w:pPr>
        <w:pStyle w:val="Heading2"/>
      </w:pPr>
      <w:r>
        <w:t xml:space="preserve">3.2 Basic statistical analysis</w:t>
      </w:r>
    </w:p>
    <w:bookmarkEnd w:id="39"/>
    <w:bookmarkStart w:id="50" w:name="full-analysis"/>
    <w:p>
      <w:pPr>
        <w:pStyle w:val="Heading2"/>
      </w:pPr>
      <w:r>
        <w:t xml:space="preserve">3.3 Full analysis</w:t>
      </w:r>
    </w:p>
    <w:p>
      <w:pPr>
        <w:pStyle w:val="FirstParagraph"/>
      </w:pPr>
      <w:r>
        <w:t xml:space="preserve">A binary 5 fold cross validation logisitc regression was performed.</w:t>
      </w:r>
      <w:r>
        <w:t xml:space="preserve"> </w:t>
      </w:r>
      <w:r>
        <w:t xml:space="preserve">Model 1 used all predictors, Model 2 used only thet age of initiation as</w:t>
      </w:r>
      <w:r>
        <w:t xml:space="preserve"> </w:t>
      </w:r>
      <w:r>
        <w:t xml:space="preserve">the predictor and model three used cessation behaviors (quit attempt and</w:t>
      </w:r>
      <w:r>
        <w:t xml:space="preserve"> </w:t>
      </w:r>
      <w:r>
        <w:t xml:space="preserve">quit intention) as predictors.</w:t>
      </w:r>
      <w:r>
        <w:t xml:space="preserve"> </w:t>
      </w:r>
      <w:r>
        <w:t xml:space="preserve">The tables below represent the results for all three models</w:t>
      </w:r>
    </w:p>
    <w:p>
      <w:pPr>
        <w:pStyle w:val="BodyText"/>
      </w:pPr>
      <w:r>
        <w:t xml:space="preserve">(</w:t>
      </w:r>
      <w:r>
        <w:rPr>
          <w:bCs/>
          <w:b/>
        </w:rPr>
        <w:t xml:space="preserve">Model1?</w:t>
      </w:r>
      <w:r>
        <w:t xml:space="preserve">)</w:t>
      </w:r>
      <w:r>
        <w:t xml:space="preserve"> </w:t>
      </w:r>
      <w:r>
        <w:t xml:space="preserve">All predictors</w:t>
      </w:r>
    </w:p>
    <w:p>
      <w:pPr>
        <w:pStyle w:val="SourceCode"/>
      </w:pPr>
      <w:r>
        <w:rPr>
          <w:rStyle w:val="NormalTok"/>
        </w:rPr>
        <w:t xml:space="preserve">Model_Results1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"model1.rds"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Model_Results1</w:t>
      </w:r>
    </w:p>
    <w:p>
      <w:pPr>
        <w:pStyle w:val="SourceCode"/>
      </w:pPr>
      <w:r>
        <w:rPr>
          <w:rStyle w:val="VerbatimChar"/>
        </w:rPr>
        <w:t xml:space="preserve"># A tibble: 1 × 3</w:t>
      </w:r>
      <w:r>
        <w:br/>
      </w:r>
      <w:r>
        <w:rPr>
          <w:rStyle w:val="VerbatimChar"/>
        </w:rPr>
        <w:t xml:space="preserve">  .metric .estimator .estimate</w:t>
      </w:r>
      <w:r>
        <w:br/>
      </w:r>
      <w:r>
        <w:rPr>
          <w:rStyle w:val="VerbatimChar"/>
        </w:rPr>
        <w:t xml:space="preserve">  &lt;chr&gt;   &lt;chr&gt;          &lt;dbl&gt;</w:t>
      </w:r>
      <w:r>
        <w:br/>
      </w:r>
      <w:r>
        <w:rPr>
          <w:rStyle w:val="VerbatimChar"/>
        </w:rPr>
        <w:t xml:space="preserve">1 roc_auc binary         0.409</w:t>
      </w:r>
    </w:p>
    <w:p>
      <w:pPr>
        <w:pStyle w:val="FirstParagraph"/>
      </w:pPr>
      <w:r>
        <w:t xml:space="preserve">(</w:t>
      </w:r>
      <w:r>
        <w:rPr>
          <w:bCs/>
          <w:b/>
        </w:rPr>
        <w:t xml:space="preserve">Model2?</w:t>
      </w:r>
      <w:r>
        <w:t xml:space="preserve">)</w:t>
      </w:r>
      <w:r>
        <w:t xml:space="preserve"> </w:t>
      </w:r>
      <w:r>
        <w:t xml:space="preserve">Age of initiation as predictor</w:t>
      </w:r>
    </w:p>
    <w:p>
      <w:pPr>
        <w:pStyle w:val="SourceCode"/>
      </w:pPr>
      <w:r>
        <w:rPr>
          <w:rStyle w:val="NormalTok"/>
        </w:rPr>
        <w:t xml:space="preserve">model2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"model2.rds"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model2</w:t>
      </w:r>
    </w:p>
    <w:p>
      <w:pPr>
        <w:pStyle w:val="SourceCode"/>
      </w:pPr>
      <w:r>
        <w:rPr>
          <w:rStyle w:val="VerbatimChar"/>
        </w:rPr>
        <w:t xml:space="preserve"># A tibble: 1 × 3</w:t>
      </w:r>
      <w:r>
        <w:br/>
      </w:r>
      <w:r>
        <w:rPr>
          <w:rStyle w:val="VerbatimChar"/>
        </w:rPr>
        <w:t xml:space="preserve">  .metric .estimator .estimate</w:t>
      </w:r>
      <w:r>
        <w:br/>
      </w:r>
      <w:r>
        <w:rPr>
          <w:rStyle w:val="VerbatimChar"/>
        </w:rPr>
        <w:t xml:space="preserve">  &lt;chr&gt;   &lt;chr&gt;          &lt;dbl&gt;</w:t>
      </w:r>
      <w:r>
        <w:br/>
      </w:r>
      <w:r>
        <w:rPr>
          <w:rStyle w:val="VerbatimChar"/>
        </w:rPr>
        <w:t xml:space="preserve">1 roc_auc binary         0.432</w:t>
      </w:r>
    </w:p>
    <w:p>
      <w:pPr>
        <w:pStyle w:val="FirstParagraph"/>
      </w:pPr>
      <w:r>
        <w:t xml:space="preserve">(</w:t>
      </w:r>
      <w:r>
        <w:rPr>
          <w:bCs/>
          <w:b/>
        </w:rPr>
        <w:t xml:space="preserve">Model3?</w:t>
      </w:r>
      <w:r>
        <w:t xml:space="preserve">)</w:t>
      </w:r>
      <w:r>
        <w:t xml:space="preserve"> </w:t>
      </w:r>
      <w:r>
        <w:t xml:space="preserve">Quit attempt and quit intent as predictors</w:t>
      </w:r>
    </w:p>
    <w:p>
      <w:pPr>
        <w:pStyle w:val="SourceCode"/>
      </w:pPr>
      <w:r>
        <w:rPr>
          <w:rStyle w:val="NormalTok"/>
        </w:rPr>
        <w:t xml:space="preserve">model3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"model3.rds"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model3</w:t>
      </w:r>
    </w:p>
    <w:p>
      <w:pPr>
        <w:pStyle w:val="SourceCode"/>
      </w:pPr>
      <w:r>
        <w:rPr>
          <w:rStyle w:val="VerbatimChar"/>
        </w:rPr>
        <w:t xml:space="preserve"># A tibble: 1 × 3</w:t>
      </w:r>
      <w:r>
        <w:br/>
      </w:r>
      <w:r>
        <w:rPr>
          <w:rStyle w:val="VerbatimChar"/>
        </w:rPr>
        <w:t xml:space="preserve">  .metric .estimator .estimate</w:t>
      </w:r>
      <w:r>
        <w:br/>
      </w:r>
      <w:r>
        <w:rPr>
          <w:rStyle w:val="VerbatimChar"/>
        </w:rPr>
        <w:t xml:space="preserve">  &lt;chr&gt;   &lt;chr&gt;          &lt;dbl&gt;</w:t>
      </w:r>
      <w:r>
        <w:br/>
      </w:r>
      <w:r>
        <w:rPr>
          <w:rStyle w:val="VerbatimChar"/>
        </w:rPr>
        <w:t xml:space="preserve">1 roc_auc binary         0.432</w:t>
      </w:r>
    </w:p>
    <w:bookmarkStart w:id="49" w:name="model-evaluation"/>
    <w:p>
      <w:pPr>
        <w:pStyle w:val="Heading3"/>
      </w:pPr>
      <w:r>
        <w:t xml:space="preserve">3.3.1 Model Evaluation</w:t>
      </w:r>
    </w:p>
    <w:p>
      <w:pPr>
        <w:pStyle w:val="FirstParagraph"/>
      </w:pPr>
      <w:r>
        <w:t xml:space="preserve">Model 1 ROC Curve with all predictors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5334000" cy="5334000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../../results/ROC_Mod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533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Model 2 ROC Curve with age of smoking initiation only as the predictor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5334000" cy="53340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../../results/ROC_Mod2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533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Model 3 ROC Curve with quit attempt and quit intent as predcitors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5334000" cy="53340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../../results/ROC_Mod3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533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49"/>
    <w:bookmarkEnd w:id="50"/>
    <w:bookmarkEnd w:id="51"/>
    <w:bookmarkStart w:id="56" w:name="discussion"/>
    <w:p>
      <w:pPr>
        <w:pStyle w:val="Heading1"/>
      </w:pPr>
      <w:r>
        <w:t xml:space="preserve">4. Discussion</w:t>
      </w:r>
    </w:p>
    <w:bookmarkStart w:id="52" w:name="summary-and-interpretation"/>
    <w:p>
      <w:pPr>
        <w:pStyle w:val="Heading2"/>
      </w:pPr>
      <w:r>
        <w:t xml:space="preserve">4.1 Summary and Interpretation</w:t>
      </w:r>
    </w:p>
    <w:p>
      <w:pPr>
        <w:pStyle w:val="FirstParagraph"/>
      </w:pPr>
      <w:r>
        <w:t xml:space="preserve">All three models used in this anlaysis had an roc_auc estimate of less</w:t>
      </w:r>
      <w:r>
        <w:t xml:space="preserve"> </w:t>
      </w:r>
      <w:r>
        <w:t xml:space="preserve">than .5. This means all three models do not do a good job of predicting</w:t>
      </w:r>
      <w:r>
        <w:t xml:space="preserve"> </w:t>
      </w:r>
      <w:r>
        <w:t xml:space="preserve">addiction with any more accuracy than a guess with a 50/50 outcome. This</w:t>
      </w:r>
      <w:r>
        <w:t xml:space="preserve"> </w:t>
      </w:r>
      <w:r>
        <w:t xml:space="preserve">also implies further literature review is required to narrow down some</w:t>
      </w:r>
      <w:r>
        <w:t xml:space="preserve"> </w:t>
      </w:r>
      <w:r>
        <w:t xml:space="preserve">of the most notable predictors.</w:t>
      </w:r>
    </w:p>
    <w:bookmarkEnd w:id="52"/>
    <w:bookmarkStart w:id="53" w:name="strengths-and-limitations"/>
    <w:p>
      <w:pPr>
        <w:pStyle w:val="Heading2"/>
      </w:pPr>
      <w:r>
        <w:t xml:space="preserve">4.2 Strengths and Limitations</w:t>
      </w:r>
    </w:p>
    <w:p>
      <w:pPr>
        <w:pStyle w:val="FirstParagraph"/>
      </w:pPr>
      <w:r>
        <w:rPr>
          <w:iCs/>
          <w:i/>
        </w:rPr>
        <w:t xml:space="preserve">Discuss what you perceive as strengths and limitations of your</w:t>
      </w:r>
      <w:r>
        <w:rPr>
          <w:iCs/>
          <w:i/>
        </w:rPr>
        <w:t xml:space="preserve"> </w:t>
      </w:r>
      <w:r>
        <w:rPr>
          <w:iCs/>
          <w:i/>
        </w:rPr>
        <w:t xml:space="preserve">analysis.</w:t>
      </w:r>
    </w:p>
    <w:bookmarkEnd w:id="53"/>
    <w:bookmarkStart w:id="55" w:name="conclusions"/>
    <w:p>
      <w:pPr>
        <w:pStyle w:val="Heading2"/>
      </w:pPr>
      <w:r>
        <w:t xml:space="preserve">4.3 Conclusions</w:t>
      </w:r>
    </w:p>
    <w:p>
      <w:pPr>
        <w:pStyle w:val="FirstParagraph"/>
      </w:pPr>
      <w:r>
        <w:rPr>
          <w:iCs/>
          <w:i/>
        </w:rPr>
        <w:t xml:space="preserve">What are the main take-home messages?</w:t>
      </w:r>
    </w:p>
    <w:p>
      <w:pPr>
        <w:pStyle w:val="BodyText"/>
      </w:pPr>
      <w:r>
        <w:rPr>
          <w:iCs/>
          <w:i/>
        </w:rPr>
        <w:t xml:space="preserve">Include citations in your Rmd file using bibtex, the list of references</w:t>
      </w:r>
      <w:r>
        <w:rPr>
          <w:iCs/>
          <w:i/>
        </w:rPr>
        <w:t xml:space="preserve"> </w:t>
      </w:r>
      <w:r>
        <w:rPr>
          <w:iCs/>
          <w:i/>
        </w:rPr>
        <w:t xml:space="preserve">will automatically be placed at the end</w:t>
      </w:r>
    </w:p>
    <w:p>
      <w:pPr>
        <w:pStyle w:val="BodyText"/>
      </w:pPr>
      <w:r>
        <w:t xml:space="preserve">This paper</w:t>
      </w:r>
      <w:r>
        <w:t xml:space="preserve"> </w:t>
      </w:r>
      <w:r>
        <w:t xml:space="preserve">(Leek &amp; Peng, 2015)</w:t>
      </w:r>
      <w:r>
        <w:t xml:space="preserve"> </w:t>
      </w:r>
      <w:r>
        <w:t xml:space="preserve">discusses types of analyses.</w:t>
      </w:r>
    </w:p>
    <w:p>
      <w:pPr>
        <w:pStyle w:val="BodyText"/>
      </w:pPr>
      <w:r>
        <w:t xml:space="preserve">These papers</w:t>
      </w:r>
      <w:r>
        <w:t xml:space="preserve"> </w:t>
      </w:r>
      <w:r>
        <w:t xml:space="preserve">(McKay, Ebell, Billings, et al., 2020; McKay, Ebell, Dale, Shen, &amp; Handel, 2020)</w:t>
      </w:r>
      <w:r>
        <w:t xml:space="preserve"> </w:t>
      </w:r>
      <w:r>
        <w:t xml:space="preserve">are good examples of papers</w:t>
      </w:r>
      <w:r>
        <w:t xml:space="preserve"> </w:t>
      </w:r>
      <w:r>
        <w:t xml:space="preserve">published using a fully reproducible setup similar to the one shown in</w:t>
      </w:r>
      <w:r>
        <w:t xml:space="preserve"> </w:t>
      </w:r>
      <w:r>
        <w:t xml:space="preserve">this template.</w:t>
      </w:r>
    </w:p>
    <w:p>
      <w:pPr>
        <w:pStyle w:val="BodyText"/>
      </w:pPr>
      <w:r>
        <w:t xml:space="preserve">Note that this cited reference will show up at the end of the document,</w:t>
      </w:r>
      <w:r>
        <w:t xml:space="preserve"> </w:t>
      </w:r>
      <w:r>
        <w:t xml:space="preserve">the reference formatting is determined by the CSL file specified in the</w:t>
      </w:r>
      <w:r>
        <w:t xml:space="preserve"> </w:t>
      </w:r>
      <w:r>
        <w:t xml:space="preserve">YAML header. Many more style files for almost any journal</w:t>
      </w:r>
      <w:r>
        <w:t xml:space="preserve"> </w:t>
      </w:r>
      <w:hyperlink r:id="rId54">
        <w:r>
          <w:rPr>
            <w:rStyle w:val="Hyperlink"/>
          </w:rPr>
          <w:t xml:space="preserve">are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available</w:t>
        </w:r>
      </w:hyperlink>
      <w:r>
        <w:t xml:space="preserve">. You also specify the location</w:t>
      </w:r>
      <w:r>
        <w:t xml:space="preserve"> </w:t>
      </w:r>
      <w:r>
        <w:t xml:space="preserve">of your bibtex reference file in the YAML. You can call your reference</w:t>
      </w:r>
      <w:r>
        <w:t xml:space="preserve"> </w:t>
      </w:r>
      <w:r>
        <w:t xml:space="preserve">file anything you like, I just used the generic word</w:t>
      </w:r>
      <w:r>
        <w:t xml:space="preserve"> </w:t>
      </w:r>
      <w:r>
        <w:rPr>
          <w:rStyle w:val="VerbatimChar"/>
        </w:rPr>
        <w:t xml:space="preserve">references.bib</w:t>
      </w:r>
      <w:r>
        <w:t xml:space="preserve"> </w:t>
      </w:r>
      <w:r>
        <w:t xml:space="preserve">but giving it a more descriptive name is probably better.</w:t>
      </w:r>
    </w:p>
    <w:p>
      <w:r>
        <w:br w:type="page"/>
      </w:r>
    </w:p>
    <w:bookmarkEnd w:id="55"/>
    <w:bookmarkEnd w:id="56"/>
    <w:bookmarkStart w:id="64" w:name="references"/>
    <w:p>
      <w:pPr>
        <w:pStyle w:val="Heading1"/>
      </w:pPr>
      <w:r>
        <w:t xml:space="preserve">5. References</w:t>
      </w:r>
    </w:p>
    <w:bookmarkStart w:id="63" w:name="refs"/>
    <w:bookmarkStart w:id="58" w:name="ref-leek2015"/>
    <w:p>
      <w:pPr>
        <w:pStyle w:val="Bibliography"/>
      </w:pPr>
      <w:r>
        <w:t xml:space="preserve">Leek, J. T., &amp; Peng, R. D. (2015). Statistics.</w:t>
      </w:r>
      <w:r>
        <w:t xml:space="preserve"> </w:t>
      </w:r>
      <w:r>
        <w:t xml:space="preserve">What</w:t>
      </w:r>
      <w:r>
        <w:t xml:space="preserve"> </w:t>
      </w:r>
      <w:r>
        <w:t xml:space="preserve">is the question?</w:t>
      </w:r>
      <w:r>
        <w:t xml:space="preserve"> </w:t>
      </w:r>
      <w:r>
        <w:rPr>
          <w:iCs/>
          <w:i/>
        </w:rPr>
        <w:t xml:space="preserve">Science (New York, N.Y.)</w:t>
      </w:r>
      <w:r>
        <w:t xml:space="preserve">,</w:t>
      </w:r>
      <w:r>
        <w:t xml:space="preserve"> </w:t>
      </w:r>
      <w:r>
        <w:rPr>
          <w:iCs/>
          <w:i/>
        </w:rPr>
        <w:t xml:space="preserve">347</w:t>
      </w:r>
      <w:r>
        <w:t xml:space="preserve">(6228), 1314–1315.</w:t>
      </w:r>
      <w:r>
        <w:t xml:space="preserve"> </w:t>
      </w:r>
      <w:hyperlink r:id="rId57">
        <w:r>
          <w:rPr>
            <w:rStyle w:val="Hyperlink"/>
          </w:rPr>
          <w:t xml:space="preserve">https://doi.org/10.1126/science.aaa6146</w:t>
        </w:r>
      </w:hyperlink>
    </w:p>
    <w:bookmarkEnd w:id="58"/>
    <w:bookmarkStart w:id="60" w:name="ref-mckay2020"/>
    <w:p>
      <w:pPr>
        <w:pStyle w:val="Bibliography"/>
      </w:pPr>
      <w:r>
        <w:t xml:space="preserve">McKay, B., Ebell, M., Billings, W. Z., Dale, A. P., Shen, Y., &amp; Handel, A. (2020). Associations</w:t>
      </w:r>
      <w:r>
        <w:t xml:space="preserve"> </w:t>
      </w:r>
      <w:r>
        <w:t xml:space="preserve">Between Relative Viral Load</w:t>
      </w:r>
      <w:r>
        <w:t xml:space="preserve"> </w:t>
      </w:r>
      <w:r>
        <w:t xml:space="preserve">at</w:t>
      </w:r>
      <w:r>
        <w:t xml:space="preserve"> </w:t>
      </w:r>
      <w:r>
        <w:t xml:space="preserve">Diagnosis</w:t>
      </w:r>
      <w:r>
        <w:t xml:space="preserve"> </w:t>
      </w:r>
      <w:r>
        <w:t xml:space="preserve">and</w:t>
      </w:r>
      <w:r>
        <w:t xml:space="preserve"> </w:t>
      </w:r>
      <w:r>
        <w:t xml:space="preserve">Influenza A Symptoms</w:t>
      </w:r>
      <w:r>
        <w:t xml:space="preserve"> </w:t>
      </w:r>
      <w:r>
        <w:t xml:space="preserve">and</w:t>
      </w:r>
      <w:r>
        <w:t xml:space="preserve"> </w:t>
      </w:r>
      <w:r>
        <w:t xml:space="preserve">Recovery</w:t>
      </w:r>
      <w:r>
        <w:t xml:space="preserve">.</w:t>
      </w:r>
      <w:r>
        <w:t xml:space="preserve"> </w:t>
      </w:r>
      <w:r>
        <w:rPr>
          <w:iCs/>
          <w:i/>
        </w:rPr>
        <w:t xml:space="preserve">Open Forum Infectious Diseases</w:t>
      </w:r>
      <w:r>
        <w:t xml:space="preserve">,</w:t>
      </w:r>
      <w:r>
        <w:t xml:space="preserve"> </w:t>
      </w:r>
      <w:r>
        <w:rPr>
          <w:iCs/>
          <w:i/>
        </w:rPr>
        <w:t xml:space="preserve">7</w:t>
      </w:r>
      <w:r>
        <w:t xml:space="preserve">(11), ofaa494.</w:t>
      </w:r>
      <w:r>
        <w:t xml:space="preserve"> </w:t>
      </w:r>
      <w:hyperlink r:id="rId59">
        <w:r>
          <w:rPr>
            <w:rStyle w:val="Hyperlink"/>
          </w:rPr>
          <w:t xml:space="preserve">https://doi.org/10.1093/ofid/ofaa494</w:t>
        </w:r>
      </w:hyperlink>
    </w:p>
    <w:bookmarkEnd w:id="60"/>
    <w:bookmarkStart w:id="62" w:name="ref-mckay2020a"/>
    <w:p>
      <w:pPr>
        <w:pStyle w:val="Bibliography"/>
      </w:pPr>
      <w:r>
        <w:t xml:space="preserve">McKay, B., Ebell, M., Dale, A. P., Shen, Y., &amp; Handel, A. (2020). Virulence-mediated infectiousness and activity trade-offs and their impact on transmission potential of influenza patients.</w:t>
      </w:r>
      <w:r>
        <w:t xml:space="preserve"> </w:t>
      </w:r>
      <w:r>
        <w:rPr>
          <w:iCs/>
          <w:i/>
        </w:rPr>
        <w:t xml:space="preserve">Proceedings. Biological Sciences</w:t>
      </w:r>
      <w:r>
        <w:t xml:space="preserve">,</w:t>
      </w:r>
      <w:r>
        <w:t xml:space="preserve"> </w:t>
      </w:r>
      <w:r>
        <w:rPr>
          <w:iCs/>
          <w:i/>
        </w:rPr>
        <w:t xml:space="preserve">287</w:t>
      </w:r>
      <w:r>
        <w:t xml:space="preserve">(1927), 20200496.</w:t>
      </w:r>
      <w:r>
        <w:t xml:space="preserve"> </w:t>
      </w:r>
      <w:hyperlink r:id="rId61">
        <w:r>
          <w:rPr>
            <w:rStyle w:val="Hyperlink"/>
          </w:rPr>
          <w:t xml:space="preserve">https://doi.org/10.1098/rspb.2020.0496</w:t>
        </w:r>
      </w:hyperlink>
    </w:p>
    <w:bookmarkEnd w:id="62"/>
    <w:bookmarkEnd w:id="63"/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26" Target="media/rId26.png" /><Relationship Type="http://schemas.openxmlformats.org/officeDocument/2006/relationships/hyperlink" Id="rId24" Target="https://datashare.nida.nih.gov/instrument/heaviness-of-smoking-index" TargetMode="External" /><Relationship Type="http://schemas.openxmlformats.org/officeDocument/2006/relationships/hyperlink" Id="rId59" Target="https://doi.org/10.1093/ofid/ofaa494" TargetMode="External" /><Relationship Type="http://schemas.openxmlformats.org/officeDocument/2006/relationships/hyperlink" Id="rId61" Target="https://doi.org/10.1098/rspb.2020.0496" TargetMode="External" /><Relationship Type="http://schemas.openxmlformats.org/officeDocument/2006/relationships/hyperlink" Id="rId57" Target="https://doi.org/10.1126/science.aaa6146" TargetMode="External" /><Relationship Type="http://schemas.openxmlformats.org/officeDocument/2006/relationships/hyperlink" Id="rId20" Target="https://nccd.cdc.gov/GTSSDataSurveyResources/Ancillary/DataReports.aspx?CAID=2&amp;Survey=4&amp;WHORegion=3&amp;Country=123&amp;Site=27000" TargetMode="External" /><Relationship Type="http://schemas.openxmlformats.org/officeDocument/2006/relationships/hyperlink" Id="rId23" Target="https://nccd.cdc.gov/GTSSDataSurveyResources/Ancillary/Documentation.aspx?SUID=4&amp;DOCT=4" TargetMode="External" /><Relationship Type="http://schemas.openxmlformats.org/officeDocument/2006/relationships/hyperlink" Id="rId54" Target="https://www.zotero.org/sty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atashare.nida.nih.gov/instrument/heaviness-of-smoking-index" TargetMode="External" /><Relationship Type="http://schemas.openxmlformats.org/officeDocument/2006/relationships/hyperlink" Id="rId59" Target="https://doi.org/10.1093/ofid/ofaa494" TargetMode="External" /><Relationship Type="http://schemas.openxmlformats.org/officeDocument/2006/relationships/hyperlink" Id="rId61" Target="https://doi.org/10.1098/rspb.2020.0496" TargetMode="External" /><Relationship Type="http://schemas.openxmlformats.org/officeDocument/2006/relationships/hyperlink" Id="rId57" Target="https://doi.org/10.1126/science.aaa6146" TargetMode="External" /><Relationship Type="http://schemas.openxmlformats.org/officeDocument/2006/relationships/hyperlink" Id="rId20" Target="https://nccd.cdc.gov/GTSSDataSurveyResources/Ancillary/DataReports.aspx?CAID=2&amp;Survey=4&amp;WHORegion=3&amp;Country=123&amp;Site=27000" TargetMode="External" /><Relationship Type="http://schemas.openxmlformats.org/officeDocument/2006/relationships/hyperlink" Id="rId23" Target="https://nccd.cdc.gov/GTSSDataSurveyResources/Ancillary/Documentation.aspx?SUID=4&amp;DOCT=4" TargetMode="External" /><Relationship Type="http://schemas.openxmlformats.org/officeDocument/2006/relationships/hyperlink" Id="rId54" Target="https://www.zotero.org/sty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Prevalence and predictors of high nicotine dependence among adult smokers in Botswana,2017</dc:title>
  <dc:creator>Betelihem Getachew</dc:creator>
  <cp:keywords/>
  <dcterms:created xsi:type="dcterms:W3CDTF">2023-04-09T19:44:37Z</dcterms:created>
  <dcterms:modified xsi:type="dcterms:W3CDTF">2023-04-09T19:44:37Z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../dataanalysis_template_references.bib</vt:lpwstr>
  </property>
  <property fmtid="{D5CDD505-2E9C-101B-9397-08002B2CF9AE}" pid="5" name="by-author">
    <vt:lpwstr/>
  </property>
  <property fmtid="{D5CDD505-2E9C-101B-9397-08002B2CF9AE}" pid="6" name="csl">
    <vt:lpwstr>../apa.csl</vt:lpwstr>
  </property>
  <property fmtid="{D5CDD505-2E9C-101B-9397-08002B2CF9AE}" pid="7" name="date">
    <vt:lpwstr>4/9/23</vt:lpwstr>
  </property>
  <property fmtid="{D5CDD505-2E9C-101B-9397-08002B2CF9AE}" pid="8" name="editor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subtitle">
    <vt:lpwstr/>
  </property>
  <property fmtid="{D5CDD505-2E9C-101B-9397-08002B2CF9AE}" pid="14" name="toc-title">
    <vt:lpwstr>Table of contents</vt:lpwstr>
  </property>
</Properties>
</file>