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1/19/23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4"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p>
      <w:pPr>
        <w:pStyle w:val="SourceCode"/>
      </w:pPr>
      <w:r>
        <w:rPr>
          <w:rStyle w:val="NormalTok"/>
        </w:rPr>
        <w:t xml:space="preserve">resulttable</w:t>
      </w:r>
      <w:r>
        <w:rPr>
          <w:rStyle w:val="OtherTok"/>
        </w:rPr>
        <w:t xml:space="preserve">=</w:t>
      </w:r>
      <w:r>
        <w:rPr>
          <w:rStyle w:val="FunctionTok"/>
        </w:rPr>
        <w:t xml:space="preserve">readRDS</w:t>
      </w:r>
      <w:r>
        <w:rPr>
          <w:rStyle w:val="NormalTok"/>
        </w:rPr>
        <w:t xml:space="preserve">(</w:t>
      </w:r>
      <w:r>
        <w:rPr>
          <w:rStyle w:val="StringTok"/>
        </w:rPr>
        <w:t xml:space="preserve">"../../results/summarytable.rds"</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(resulttable)</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Age</w:t>
            </w:r>
          </w:p>
        </w:tc>
        <w:tc>
          <w:tcPr/>
          <w:p>
            <w:pPr>
              <w:pStyle w:val="Compact"/>
              <w:jc w:val="left"/>
            </w:pPr>
            <w:r>
              <w:t xml:space="preserve">Handedness</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21</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23</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25</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27.1111111111111</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29</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43</w:t>
            </w:r>
          </w:p>
        </w:tc>
        <w:tc>
          <w:tcPr/>
          <w:p>
            <w:pPr>
              <w:pStyle w:val="Compact"/>
              <w:jc w:val="left"/>
            </w:pPr>
            <w:r>
              <w:t xml:space="preserve">character</w:t>
            </w:r>
          </w:p>
        </w:tc>
      </w:tr>
    </w:tbl>
    <w:bookmarkEnd w:id="31"/>
    <w:bookmarkEnd w:id="32"/>
    <w:bookmarkStart w:id="4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scatterplo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scatterplot"/>
          <w:p>
            <w:pPr>
              <w:pStyle w:val="Figure"/>
              <w:jc w:val="center"/>
            </w:pPr>
            <w:r>
              <w:drawing>
                <wp:inline>
                  <wp:extent cx="2042873" cy="2394565"/>
                  <wp:effectExtent b="0" l="0" r="0" t="0"/>
                  <wp:docPr descr="" title="" id="34" name="Picture"/>
                  <a:graphic>
                    <a:graphicData uri="http://schemas.openxmlformats.org/drawingml/2006/picture">
                      <pic:pic>
                        <pic:nvPicPr>
                          <pic:cNvPr descr="../../results/scatterplot_weight_and_age.png" id="35" name="Picture"/>
                          <pic:cNvPicPr>
                            <a:picLocks noChangeArrowheads="1" noChangeAspect="1"/>
                          </pic:cNvPicPr>
                        </pic:nvPicPr>
                        <pic:blipFill>
                          <a:blip r:embed="rId33"/>
                          <a:stretch>
                            <a:fillRect/>
                          </a:stretch>
                        </pic:blipFill>
                        <pic:spPr bwMode="auto">
                          <a:xfrm>
                            <a:off x="0" y="0"/>
                            <a:ext cx="2042873" cy="23945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 vs. Weight</w:t>
            </w:r>
          </w:p>
          <w:bookmarkEnd w:id="36"/>
        </w:tc>
      </w:tr>
    </w:tbl>
    <w:p>
      <w:pPr>
        <w:pStyle w:val="BodyText"/>
      </w:pPr>
      <w:hyperlink w:anchor="fig-boxplot">
        <w:r>
          <w:rPr>
            <w:rStyle w:val="Hyperlink"/>
          </w:rPr>
          <w:t xml:space="preserve">Figure 2</w:t>
        </w:r>
      </w:hyperlink>
      <w:r>
        <w:t xml:space="preserve"> </w:t>
      </w:r>
      <w:r>
        <w:t xml:space="preserve">shows a boxplot produced by one of the R scripts.</w:t>
      </w:r>
    </w:p>
    <w:tbl>
      <w:tblPr>
        <w:tblStyle w:val="Table"/>
        <w:tblW w:type="pct" w:w="5000"/>
        <w:tblLook w:firstRow="0" w:lastRow="0" w:firstColumn="0" w:lastColumn="0" w:noHBand="0" w:noVBand="0" w:val="0000"/>
      </w:tblPr>
      <w:tblGrid>
        <w:gridCol w:w="7920"/>
      </w:tblGrid>
      <w:tr>
        <w:tc>
          <w:tcPr/>
          <w:bookmarkStart w:id="40" w:name="fig-boxplot"/>
          <w:p>
            <w:pPr>
              <w:pStyle w:val="Figure"/>
              <w:jc w:val="center"/>
            </w:pPr>
            <w:r>
              <w:drawing>
                <wp:inline>
                  <wp:extent cx="2042873" cy="2394565"/>
                  <wp:effectExtent b="0" l="0" r="0" t="0"/>
                  <wp:docPr descr="" title="" id="38" name="Picture"/>
                  <a:graphic>
                    <a:graphicData uri="http://schemas.openxmlformats.org/drawingml/2006/picture">
                      <pic:pic>
                        <pic:nvPicPr>
                          <pic:cNvPr descr="../../results/boxplot_handedness_and_height.png" id="39" name="Picture"/>
                          <pic:cNvPicPr>
                            <a:picLocks noChangeArrowheads="1" noChangeAspect="1"/>
                          </pic:cNvPicPr>
                        </pic:nvPicPr>
                        <pic:blipFill>
                          <a:blip r:embed="rId37"/>
                          <a:stretch>
                            <a:fillRect/>
                          </a:stretch>
                        </pic:blipFill>
                        <pic:spPr bwMode="auto">
                          <a:xfrm>
                            <a:off x="0" y="0"/>
                            <a:ext cx="2042873" cy="23945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by Handedness</w:t>
            </w:r>
          </w:p>
          <w:bookmarkEnd w:id="40"/>
        </w:tc>
      </w:tr>
    </w:tbl>
    <w:bookmarkEnd w:id="41"/>
    <w:bookmarkStart w:id="4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2"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2"/>
    <w:p>
      <w:r>
        <w:br w:type="page"/>
      </w:r>
    </w:p>
    <w:bookmarkEnd w:id="43"/>
    <w:bookmarkEnd w:id="44"/>
    <w:bookmarkStart w:id="49" w:name="discussion"/>
    <w:p>
      <w:pPr>
        <w:pStyle w:val="Heading1"/>
      </w:pPr>
      <w:r>
        <w:t xml:space="preserve">5. Discussion</w:t>
      </w:r>
    </w:p>
    <w:bookmarkStart w:id="4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5"/>
    <w:bookmarkStart w:id="4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6"/>
    <w:bookmarkStart w:id="4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8"/>
    <w:bookmarkEnd w:id="49"/>
    <w:bookmarkStart w:id="57" w:name="references"/>
    <w:p>
      <w:pPr>
        <w:pStyle w:val="Heading1"/>
      </w:pPr>
      <w:r>
        <w:t xml:space="preserve">6. References</w:t>
      </w:r>
    </w:p>
    <w:bookmarkStart w:id="56" w:name="refs"/>
    <w:bookmarkStart w:id="5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0">
        <w:r>
          <w:rPr>
            <w:rStyle w:val="Hyperlink"/>
          </w:rPr>
          <w:t xml:space="preserve">https://doi.org/10.1126/science.aaa6146</w:t>
        </w:r>
      </w:hyperlink>
    </w:p>
    <w:bookmarkEnd w:id="51"/>
    <w:bookmarkStart w:id="5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2">
        <w:r>
          <w:rPr>
            <w:rStyle w:val="Hyperlink"/>
          </w:rPr>
          <w:t xml:space="preserve">https://doi.org/10.1093/ofid/ofaa494</w:t>
        </w:r>
      </w:hyperlink>
    </w:p>
    <w:bookmarkEnd w:id="53"/>
    <w:bookmarkStart w:id="5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4">
        <w:r>
          <w:rPr>
            <w:rStyle w:val="Hyperlink"/>
          </w:rPr>
          <w:t xml:space="preserve">https://doi.org/10.1098/rspb.2020.0496</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2023-01-19T18:24:36Z</dcterms:created>
  <dcterms:modified xsi:type="dcterms:W3CDTF">2023-01-19T18:24:36Z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1/19/23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