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tiff" ContentType="image/tiff"/>
  <Override PartName="/word/media/rId39.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3/20/23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rPr>
          <w:iCs/>
          <w:i/>
        </w:rPr>
        <w:t xml:space="preserve">Provide enough background on your topic that others can understand the why and how of your analysis</w:t>
      </w:r>
    </w:p>
    <w:bookmarkEnd w:id="22"/>
    <w:bookmarkStart w:id="23" w:name="description-of-data-and-data-source"/>
    <w:p>
      <w:pPr>
        <w:pStyle w:val="Heading2"/>
      </w:pPr>
      <w:r>
        <w:t xml:space="preserve">3.2 Description of data and data source</w:t>
      </w:r>
    </w:p>
    <w:p>
      <w:pPr>
        <w:pStyle w:val="FirstParagraph"/>
      </w:pPr>
      <w:r>
        <w:rPr>
          <w:iCs/>
          <w:i/>
        </w:rPr>
        <w:t xml:space="preserve">We have 126 observations taken over a period of 2 years. We are evaluating for the presence and burden of antimicrobial resistance genes in white stork feces. Codebook is a WIP located in raw data folder.</w:t>
      </w:r>
    </w:p>
    <w:bookmarkEnd w:id="23"/>
    <w:bookmarkStart w:id="24" w:name="questionshypotheses-to-be-addressed"/>
    <w:p>
      <w:pPr>
        <w:pStyle w:val="Heading2"/>
      </w:pPr>
      <w:r>
        <w:t xml:space="preserve">3.3 Questions/Hypotheses to be addressed</w:t>
      </w:r>
    </w:p>
    <w:p>
      <w:pPr>
        <w:pStyle w:val="FirstParagraph"/>
      </w:pPr>
      <w:r>
        <w:t xml:space="preserve">Does landfill use by storks increase the likelihood of carrying Antimicrobial resistance (AMR) genes and resistance gene burden?.</w:t>
      </w:r>
    </w:p>
    <w:p>
      <w:pPr>
        <w:pStyle w:val="BodyText"/>
      </w:pPr>
      <w:r>
        <w:t xml:space="preserve">Stork that visit the landfill more often will have a higher likelihood of carrying AMR genes and have a higher burden of AMR genes.</w:t>
      </w:r>
    </w:p>
    <w:p>
      <w:pPr>
        <w:pStyle w:val="BodyText"/>
      </w:pPr>
      <w:r>
        <w:t xml:space="preserve">Is nest success related to AMR gene burden and multi-drug resistance (i.e., resistance to 3 or more drug classes)?</w:t>
      </w:r>
    </w:p>
    <w:p>
      <w:pPr>
        <w:pStyle w:val="BodyText"/>
      </w:pPr>
      <w:r>
        <w:t xml:space="preserve">Stork with more AMR gene burdens and multi-drug resistance will have lower nest success.</w:t>
      </w:r>
    </w:p>
    <w:p>
      <w:pPr>
        <w:pStyle w:val="BodyText"/>
      </w:pPr>
      <w:r>
        <w:rPr>
          <w:iCs/>
          <w:i/>
        </w:rPr>
        <w:t xml:space="preserve">To cite other work (important everywhere, but likely happens first in introduction), make sure your references are in the bibtex file specified in the YAML header above (here</w:t>
      </w:r>
      <w:r>
        <w:rPr>
          <w:iCs/>
          <w:i/>
        </w:rPr>
        <w:t xml:space="preserve"> </w:t>
      </w:r>
      <w:r>
        <w:rPr>
          <w:rStyle w:val="VerbatimChar"/>
          <w:iCs/>
          <w:i/>
        </w:rPr>
        <w:t xml:space="preserve">dataanalysis_template_references.bib</w:t>
      </w:r>
      <w:r>
        <w:rPr>
          <w:iCs/>
          <w:i/>
        </w:rP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4"/>
    <w:bookmarkEnd w:id="25"/>
    <w:bookmarkStart w:id="32" w:name="methods"/>
    <w:p>
      <w:pPr>
        <w:pStyle w:val="Heading1"/>
      </w:pPr>
      <w:r>
        <w:t xml:space="preserve">4. Methods</w:t>
      </w:r>
    </w:p>
    <w:bookmarkStart w:id="28" w:name="data-aquisition"/>
    <w:p>
      <w:pPr>
        <w:pStyle w:val="Heading2"/>
      </w:pPr>
      <w:r>
        <w:t xml:space="preserve">4.1 Data aquisition</w:t>
      </w:r>
    </w:p>
    <w:bookmarkStart w:id="26" w:name="experimental-design"/>
    <w:p>
      <w:pPr>
        <w:pStyle w:val="Heading3"/>
      </w:pPr>
      <w:r>
        <w:t xml:space="preserve">4.1.1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w:t>
      </w:r>
      <w:r>
        <w:t xml:space="preserve">“</w:t>
      </w:r>
      <w:r>
        <w:t xml:space="preserve">Renta Agraria,</w:t>
      </w:r>
      <w:r>
        <w:t xml:space="preserve">”</w:t>
      </w:r>
      <w:r>
        <w:t xml:space="preserve"> </w:t>
      </w:r>
      <w:r>
        <w:t xml:space="preserve">2019)).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w:t>
      </w:r>
      <w:r>
        <w:t xml:space="preserve"> </w:t>
      </w:r>
      <w:r>
        <w:t xml:space="preserve">. This cattle ranch has supported a productive white stork rookery where storks have been banded and monitored by biologists at UCM for over 20 years &lt;CITE: Aguirre and Atienza&gt;.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(Fraxinus angustifolius ) found within the cattle pasture. Storks that breed within the Prado Herrero rookery are known to utilize Colmenar Viejo Landfill which is located approximately 12km southeast. Colmenar Viejo is an open-air landfill and it is second largest of it’s kind in the Madrid region &lt;CITE: Alejandro 2022&gt;.</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&lt;CITE: &gt;,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6"/>
    <w:bookmarkStart w:id="27" w:name="molecular-analysis-of-args"/>
    <w:p>
      <w:pPr>
        <w:pStyle w:val="Heading3"/>
      </w:pPr>
      <w:r>
        <w:t xml:space="preserve">4.1.2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 Jiang et al. (2013)</w:t>
      </w:r>
      <w:r>
        <w:t xml:space="preserve">. A DNA sample was considered validated when a ten-fold dilution showed a cycle threshold (Ct) less than 25 (Esperón et al., 2018).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 (Nieto-Claudin et al., 2019). We quantified the relative burden of each gene for each sample via the cycle threshold (Ct) for the 16S rRNA and the Ct value of the individual ARG using a previously published formula (Esperón et al., 2020).</w:t>
      </w:r>
    </w:p>
    <w:bookmarkEnd w:id="27"/>
    <w:bookmarkEnd w:id="28"/>
    <w:bookmarkStart w:id="31" w:name="X273d7cdd272a73341e0d24fca9a9ad40dc55bda"/>
    <w:p>
      <w:pPr>
        <w:pStyle w:val="Heading2"/>
      </w:pPr>
      <w:r>
        <w:t xml:space="preserve">4.2 Data import and cleaning (Reference file and give details HERE. Reference a ReadME/doc here)</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4.2.2</w:t>
      </w:r>
    </w:p>
    <w:p>
      <w:pPr>
        <w:pStyle w:val="SourceCode"/>
      </w:pPr>
      <w:r>
        <w:rPr>
          <w:rStyle w:val="VerbatimChar"/>
        </w:rPr>
        <w:t xml:space="preserve">── Attaching packages ─────────────────────────────────────── tidyverse 1.3.2 ──</w:t>
      </w:r>
      <w:r>
        <w:br/>
      </w:r>
      <w:r>
        <w:rPr>
          <w:rStyle w:val="VerbatimChar"/>
        </w:rPr>
        <w:t xml:space="preserve">✔ ggplot2 3.4.0      ✔ purrr   1.0.1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p>
    <w:p>
      <w:pPr>
        <w:pStyle w:val="SourceCode"/>
      </w:pPr>
      <w:r>
        <w:rPr>
          <w:rStyle w:val="VerbatimChar"/>
        </w:rPr>
        <w:t xml:space="preserve">Warning: package 'ggplot2'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(here)</w:t>
      </w:r>
    </w:p>
    <w:bookmarkStart w:id="30"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 (Blanco-Peña et al., 2017).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totalled and used to evalute total gene burdens accross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 &lt;CITE Alejandro 2022&gt;.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bookmarkStart w:id="29" w:name="Xdeed5110a01d4a827e1dff410c611a3308fbb61"/>
    <w:p>
      <w:pPr>
        <w:pStyle w:val="Heading4"/>
      </w:pPr>
      <w:r>
        <w:t xml:space="preserve">4.2.1.1 (Note: still trying to figure out how to do this with the performance package) We evaluated model fit for all models using Akaike Information Criterion scores adjusted for small sample sizes (AICc: Burnham and Anderson, 2002). The best fit model was selected by having a ΔAICc &lt; 2._</w:t>
      </w:r>
    </w:p>
    <w:p>
      <w:r>
        <w:br w:type="page"/>
      </w:r>
    </w:p>
    <w:bookmarkEnd w:id="29"/>
    <w:bookmarkEnd w:id="30"/>
    <w:bookmarkEnd w:id="31"/>
    <w:bookmarkEnd w:id="32"/>
    <w:bookmarkStart w:id="46" w:name="results"/>
    <w:p>
      <w:pPr>
        <w:pStyle w:val="Heading1"/>
      </w:pPr>
      <w:r>
        <w:t xml:space="preserve">5. Results</w:t>
      </w:r>
    </w:p>
    <w:bookmarkStart w:id="34" w:name="X3ecbe87f6de817bd313491f79ddfff00a36fcdb"/>
    <w:p>
      <w:pPr>
        <w:pStyle w:val="Heading2"/>
      </w:pPr>
      <w:r>
        <w:t xml:space="preserve">5.1 Exploratory/Descriptive analysis (SUMMARY STATS IN EXPLORATION FILE TBD -&gt; Burden/MDR associated with each class. summary table? with actual summary stats)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3" w:name="tbl-summarytable"/>
    <w:p>
      <w:pPr>
        <w:pStyle w:val="BodyText"/>
      </w:pPr>
      <w:r>
        <w:rPr>
          <w:bCs/>
          <w:b/>
        </w:rPr>
        <w:t xml:space="preserve">?(caption)</w:t>
      </w:r>
    </w:p>
    <w:bookmarkEnd w:id="33"/>
    <w:bookmarkEnd w:id="34"/>
    <w:bookmarkStart w:id="43"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8" w:name="fig-result-1"/>
          <w:p>
            <w:pPr>
              <w:pStyle w:val="Figure"/>
              <w:jc w:val="center"/>
            </w:pPr>
            <w:r>
              <w:drawing>
                <wp:inline>
                  <wp:extent cx="5334000" cy="5334000"/>
                  <wp:effectExtent b="0" l="0" r="0" t="0"/>
                  <wp:docPr descr="" title="" id="36" name="Picture"/>
                  <a:graphic>
                    <a:graphicData uri="http://schemas.openxmlformats.org/drawingml/2006/picture">
                      <pic:pic>
                        <pic:nvPicPr>
                          <pic:cNvPr descr="../../3%20Analysis%20Scripts/LUIvsBurden_LME.tiff"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8"/>
        </w:tc>
      </w:tr>
    </w:tbl>
    <w:tbl>
      <w:tblPr>
        <w:tblStyle w:val="Table"/>
        <w:tblW w:type="pct" w:w="5000"/>
        <w:tblLook w:firstRow="0" w:lastRow="0" w:firstColumn="0" w:lastColumn="0" w:noHBand="0" w:noVBand="0" w:val="0000"/>
      </w:tblPr>
      <w:tblGrid>
        <w:gridCol w:w="7920"/>
      </w:tblGrid>
      <w:tr>
        <w:tc>
          <w:tcPr/>
          <w:bookmarkStart w:id="42" w:name="fig-result-2"/>
          <w:p>
            <w:pPr>
              <w:pStyle w:val="Figure"/>
              <w:jc w:val="center"/>
            </w:pPr>
            <w:r>
              <w:drawing>
                <wp:inline>
                  <wp:extent cx="5334000" cy="5334000"/>
                  <wp:effectExtent b="0" l="0" r="0" t="0"/>
                  <wp:docPr descr="" title="" id="40" name="Picture"/>
                  <a:graphic>
                    <a:graphicData uri="http://schemas.openxmlformats.org/drawingml/2006/picture">
                      <pic:pic>
                        <pic:nvPicPr>
                          <pic:cNvPr descr="../../3%20Analysis%20Scripts/LUIvsMDR_LME.tiff"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44" w:name="tbl-resulttable2"/>
    <w:p>
      <w:pPr>
        <w:pStyle w:val="SourceCode"/>
      </w:pPr>
      <w:r>
        <w:rPr>
          <w:rStyle w:val="VerbatimChar"/>
        </w:rPr>
        <w:t xml:space="preserve">[1] "C:/Users/Raquel/GitHub/MADA/SETHLATTERRAQUELFRANCISCO-MADA-project/4 Results/Tables/ModelAIC1.rds"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C:/Users/Raquel/GitHub/MADA/SETHLATTERRAQUELFRANCISCO-MADA-project/4 Results/Tables/ModelAIC1.rds</w:t>
            </w:r>
          </w:p>
        </w:tc>
      </w:tr>
    </w:tbl>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C:/Users/Raquel/GitHub/MADA/SETHLATTERRAQUELFRANCISCO-MADA-project/4 Results/Tables/ModelAIC2.rds</w:t>
            </w:r>
          </w:p>
        </w:tc>
      </w:tr>
    </w:tbl>
    <w:p>
      <w:pPr>
        <w:pStyle w:val="BodyText"/>
      </w:pPr>
      <w:r>
        <w:t xml:space="preserve">Linear model fit table.</w:t>
      </w:r>
    </w:p>
    <w:bookmarkEnd w:id="44"/>
    <w:p>
      <w:r>
        <w:br w:type="page"/>
      </w:r>
    </w:p>
    <w:bookmarkEnd w:id="45"/>
    <w:bookmarkEnd w:id="46"/>
    <w:bookmarkStart w:id="51" w:name="discussion"/>
    <w:p>
      <w:pPr>
        <w:pStyle w:val="Heading1"/>
      </w:pPr>
      <w:r>
        <w:t xml:space="preserve">6. Discussion</w:t>
      </w:r>
    </w:p>
    <w:bookmarkStart w:id="47" w:name="summary-and-interpretation"/>
    <w:p>
      <w:pPr>
        <w:pStyle w:val="Heading2"/>
      </w:pPr>
      <w:r>
        <w:t xml:space="preserve">6.1 Summary and Interpretation</w:t>
      </w:r>
    </w:p>
    <w:p>
      <w:pPr>
        <w:numPr>
          <w:ilvl w:val="0"/>
          <w:numId w:val="1002"/>
        </w:numPr>
      </w:pPr>
      <w:r>
        <w:t xml:space="preserve">As multi-drug resistance and class diversity increase (similar things I know) throughout the breeding season (compounding effect likely), mean LUI decreases and nest success decreases (makes sense because in your prior papers you have found increase nest success with increased LUI).</w:t>
      </w:r>
    </w:p>
    <w:p>
      <w:pPr>
        <w:numPr>
          <w:ilvl w:val="0"/>
          <w:numId w:val="1002"/>
        </w:numPr>
      </w:pPr>
      <w:r>
        <w:t xml:space="preserve">Resistance gene burden appears to increase as mean LUI use and age increase. o Most of the burden is due to blaTEM, a common resistance gene associated with anthropogenic impact. Sampling period does not appear to explain burden, but the top blaTEM model did show a trend in burden increasing from the 2nd sampling period to the 3rd sampling period and age.</w:t>
      </w:r>
    </w:p>
    <w:bookmarkEnd w:id="47"/>
    <w:bookmarkStart w:id="48" w:name="strengths-and-limitations"/>
    <w:p>
      <w:pPr>
        <w:pStyle w:val="Heading2"/>
      </w:pPr>
      <w:r>
        <w:t xml:space="preserve">6.2 Strengths and Limitations</w:t>
      </w:r>
    </w:p>
    <w:p>
      <w:pPr>
        <w:numPr>
          <w:ilvl w:val="0"/>
          <w:numId w:val="1003"/>
        </w:numPr>
        <w:pStyle w:val="Compact"/>
      </w:pPr>
      <w:r>
        <w:t xml:space="preserve">Not much statistically significant data, thus we may have to argue biological significance.</w:t>
      </w:r>
    </w:p>
    <w:bookmarkEnd w:id="48"/>
    <w:bookmarkStart w:id="50"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 (Bialas et al 2021) 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pPr>
        <w:pStyle w:val="BodyText"/>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0"/>
    <w:bookmarkEnd w:id="51"/>
    <w:bookmarkStart w:id="59" w:name="references"/>
    <w:p>
      <w:pPr>
        <w:pStyle w:val="Heading1"/>
      </w:pPr>
      <w:r>
        <w:t xml:space="preserve">7. References</w:t>
      </w:r>
    </w:p>
    <w:bookmarkStart w:id="58" w:name="refs"/>
    <w:bookmarkStart w:id="5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2">
        <w:r>
          <w:rPr>
            <w:rStyle w:val="Hyperlink"/>
          </w:rPr>
          <w:t xml:space="preserve">https://doi.org/10.1126/science.aaa6146</w:t>
        </w:r>
      </w:hyperlink>
    </w:p>
    <w:bookmarkEnd w:id="53"/>
    <w:bookmarkStart w:id="5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4">
        <w:r>
          <w:rPr>
            <w:rStyle w:val="Hyperlink"/>
          </w:rPr>
          <w:t xml:space="preserve">https://doi.org/10.1093/ofid/ofaa494</w:t>
        </w:r>
      </w:hyperlink>
    </w:p>
    <w:bookmarkEnd w:id="55"/>
    <w:bookmarkStart w:id="5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6">
        <w:r>
          <w:rPr>
            <w:rStyle w:val="Hyperlink"/>
          </w:rPr>
          <w:t xml:space="preserve">https://doi.org/10.1098/rspb.2020.0496</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tiff" /><Relationship Type="http://schemas.openxmlformats.org/officeDocument/2006/relationships/image" Id="rId39" Target="media/rId39.tiff"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2023-03-20T17:37:00Z</dcterms:created>
  <dcterms:modified xsi:type="dcterms:W3CDTF">2023-03-20T17:37:00Z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Exploring the diversity and burden of antimicrobial resistance genes carried by white stork (Ciconia ciconia) throughout the breeding season in Madrid, Spain</vt:lpwstr>
  </property>
  <property fmtid="{D5CDD505-2E9C-101B-9397-08002B2CF9AE}" pid="13" name="toc-title">
    <vt:lpwstr>Table of contents</vt:lpwstr>
  </property>
</Properties>
</file>