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tiff" ContentType="image/tiff"/>
  <Override PartName="/word/media/rId39.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4/7/23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Xc880a54b4ef170513d3c4eaf4a75adfddc85223"/>
    <w:p>
      <w:pPr>
        <w:pStyle w:val="Heading2"/>
      </w:pPr>
      <w:r>
        <w:t xml:space="preserve">3.1 General Background Information (WILL FIGHT WITH BIBTEX TOMORROW)</w:t>
      </w:r>
    </w:p>
    <w:p>
      <w:pPr>
        <w:pStyle w:val="FirstParagraph"/>
      </w:pPr>
      <w:r>
        <w:t xml:space="preserve">Antimicrobial resistance (AMR) in wildlife was recently highlighted as being a critical research need (Dolejska &amp; Literak, 2019). While AMR is accepted as a global human concern, it has only recently been utilized to evaluated wildlife health and anthropogenic impacts on environments. The majority of resistance research in wildlife has been targeted towards birds due to their interinsict life history traits such as long migrations and the ability to fly between environments</w:t>
      </w:r>
      <w:r>
        <w:t xml:space="preserve"> </w:t>
      </w:r>
      <w:r>
        <w:t xml:space="preserve">. However, the importance of birds in respect to the epidemiology of AMR remains poorly understood (Radhouani et al., 2014).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like mercury in the greater everglades ecosystem</w:t>
      </w:r>
      <w:r>
        <w:t xml:space="preserve"> </w:t>
      </w:r>
      <w:r>
        <w:t xml:space="preserve">. Birds are also often utilized in zoonotic pathogen surveillance (i.e., USDA sentinel chickens to monitor West Nile Virus) &lt; &gt;. In recent years, a similar approach has been utilized to study AMR prevalence/impacts on different landscapes &lt;&gt;. In 2019, the USGS revealed that more than half of GPS-tracked gulls (Larus ssp.) had acquired antimicrobial resistant E. coli from landfills and disseminated it long distances to pristine, unaltered habitats (Ahlstrom et al., 2019).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 (Niu et al., 2013). It is believed that animals that rely on anthropogenic resources (e.g., landfills) are often concentrated at high densities that promote the large-scale mixing of bacteria, which facilitate the rise of novel resistant strains (Wellington et al., 2013). Moreover, ecological factors such as migration and high densities during breeding season may increase acquisition rates and the dissemination of AMR</w:t>
      </w:r>
      <w:r>
        <w:t xml:space="preserve"> </w:t>
      </w:r>
      <w:r>
        <w:t xml:space="preserve">.</w:t>
      </w:r>
    </w:p>
    <w:p>
      <w:pPr>
        <w:pStyle w:val="BodyText"/>
      </w:pPr>
      <w:r>
        <w:t xml:space="preserve">Understanding the prevalence and movement of AMR is important to not only humans and environmental health, but also wildlife health. Currently, the carriage of AMR genes presents an unknown risk to the individual birds but has larger implications for free-living avian communities. Resistance genes are thought to alter the fitness of a pathogen (Friedman et al., 2016), and have been correlated with increased virulence (Escudeiro et al., 2019),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 E. coli, Salmonella spp.) that have caused outbreaks in produce, yet, they are only moving these bacteria from areas already contaminated by human activities (Hoelzer et al., 2011). Thus, understanding how avian behaviors that overlap with risky environmental factors, (e.g., foraging in agricultural areas), impact the carriage of resistance, is key because: 1) it allows us to understand the exact role birds play in AMR dissemination, and 2) it informs targeted population management and conservation strategies—such as discouraging birds from utilizing certain areas.</w:t>
      </w:r>
    </w:p>
    <w:p>
      <w:pPr>
        <w:pStyle w:val="BodyText"/>
      </w:pPr>
      <w:r>
        <w:t xml:space="preserve">The western white stork population provides the unique opportunity to explore how anthropogenic land use influences the carriage of antimicrobial resistance genes. White storks (Ciconia ciconia)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urban open landfills (Cramp and (ed), 1985; Tortosa et al., 2002). Currently, colonies in Madrid, Spain with increased proximity to landfills have improved breeding outcomes and nestling quality, however eggs and nestlings also have increased pollutant loads (Vergara et al., 2006) (Jiang et al., 2013),(Blázquez et al., 2006; Tortosa et al., 2002). This has in turn affected their natural history as subsets of the population begun to shorten or abandon their winter migration (Gordo et al., 2007; Marchamalo et al., 1997; Reed et al., 2003; Tortosa et al., 1995; Vergara et al., 2004). Although the conservation status of the white stork is of Least Concern in Spain, it has disappeared from large areas of its historical range in Europe and thus, the populations in Portugal and Spain are of greater significance.</w:t>
      </w:r>
    </w:p>
    <w:p>
      <w:pPr>
        <w:pStyle w:val="BodyText"/>
      </w:pPr>
      <w:r>
        <w:t xml:space="preserve">Most studies on AMR surveillance in wildlife are performed by culture‐dependent methods, (e.g., the isolation of a specific pathogen such as Escherichia coli) as indicators of AMR. However, since most bacteria are not culturable, the detection of AMR using traditional methods might not be representative of the whole resistant microbiota, sometimes referred to as the resistome .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guia) (Esperón et al., 2018; Nieto-Claudin et al., 2019; Sacristán et al., 2020). Add blurb about HGT…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 (Wellington et al., 2013).</w:t>
      </w:r>
    </w:p>
    <w:p>
      <w:pPr>
        <w:pStyle w:val="BodyText"/>
      </w:pPr>
    </w:p>
    <w:bookmarkEnd w:id="22"/>
    <w:bookmarkStart w:id="23" w:name="description-of-data-and-data-source"/>
    <w:p>
      <w:pPr>
        <w:pStyle w:val="Heading2"/>
      </w:pPr>
      <w:r>
        <w:t xml:space="preserve">3.2 Description of data and data source</w:t>
      </w:r>
    </w:p>
    <w:p>
      <w:pPr>
        <w:pStyle w:val="FirstParagraph"/>
      </w:pPr>
      <w:r>
        <w:rPr>
          <w:iCs/>
          <w:i/>
        </w:rPr>
        <w:t xml:space="preserve">We have 126 observations taken over a period of 2 years. We are evaluating for the presence and burden of antimicrobial resistance genes in white stork feces. Codebook is a WIP located in raw data folder.</w:t>
      </w:r>
    </w:p>
    <w:bookmarkEnd w:id="23"/>
    <w:bookmarkStart w:id="24" w:name="questionshypotheses-to-be-addressed"/>
    <w:p>
      <w:pPr>
        <w:pStyle w:val="Heading2"/>
      </w:pPr>
      <w:r>
        <w:t xml:space="preserve">3.3 Questions/Hypotheses to be addressed</w:t>
      </w:r>
    </w:p>
    <w:p>
      <w:pPr>
        <w:pStyle w:val="FirstParagraph"/>
      </w:pPr>
      <w:r>
        <w:t xml:space="preserve">Does landfill use by storks increase the likelihood of carrying Antimicrobial resistance (AMR) genes and resistance gene burden?.</w:t>
      </w:r>
    </w:p>
    <w:p>
      <w:pPr>
        <w:pStyle w:val="BodyText"/>
      </w:pPr>
      <w:r>
        <w:t xml:space="preserve">Stork that visit the landfill more often will have a higher likelihood of carrying AMR genes and have a higher burden of AMR genes.</w:t>
      </w:r>
    </w:p>
    <w:p>
      <w:pPr>
        <w:pStyle w:val="BodyText"/>
      </w:pPr>
      <w:r>
        <w:t xml:space="preserve">Is nest success related to AMR gene burden and multi-drug resistance (i.e., resistance to 3 or more drug classes)?</w:t>
      </w:r>
    </w:p>
    <w:p>
      <w:pPr>
        <w:pStyle w:val="BodyText"/>
      </w:pPr>
      <w:r>
        <w:t xml:space="preserve">Stork with more AMR gene burdens and multi-drug resistance will have lower nest success.</w:t>
      </w:r>
    </w:p>
    <w:p>
      <w:pPr>
        <w:pStyle w:val="BodyText"/>
      </w:pPr>
      <w:r>
        <w:rPr>
          <w:iCs/>
          <w:i/>
        </w:rPr>
        <w:t xml:space="preserve">To cite other work (important everywhere, but likely happens first in introduction), make sure your references are in the bibtex file specified in the YAML header above (here</w:t>
      </w:r>
      <w:r>
        <w:rPr>
          <w:iCs/>
          <w:i/>
        </w:rPr>
        <w:t xml:space="preserve"> </w:t>
      </w:r>
      <w:r>
        <w:rPr>
          <w:rStyle w:val="VerbatimChar"/>
          <w:iCs/>
          <w:i/>
        </w:rPr>
        <w:t xml:space="preserve">dataanalysis_template_references.bib</w:t>
      </w:r>
      <w:r>
        <w:rPr>
          <w:iCs/>
          <w:i/>
        </w:rP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4"/>
    <w:bookmarkEnd w:id="25"/>
    <w:bookmarkStart w:id="32" w:name="methods"/>
    <w:p>
      <w:pPr>
        <w:pStyle w:val="Heading1"/>
      </w:pPr>
      <w:r>
        <w:t xml:space="preserve">4. Methods</w:t>
      </w:r>
    </w:p>
    <w:bookmarkStart w:id="28" w:name="data-aquisition"/>
    <w:p>
      <w:pPr>
        <w:pStyle w:val="Heading2"/>
      </w:pPr>
      <w:r>
        <w:t xml:space="preserve">4.1 Data aquisition</w:t>
      </w:r>
    </w:p>
    <w:bookmarkStart w:id="26" w:name="experimental-design"/>
    <w:p>
      <w:pPr>
        <w:pStyle w:val="Heading3"/>
      </w:pPr>
      <w:r>
        <w:t xml:space="preserve">4.1.1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w:t>
      </w:r>
      <w:r>
        <w:t xml:space="preserve">“</w:t>
      </w:r>
      <w:r>
        <w:t xml:space="preserve">Renta Agraria,</w:t>
      </w:r>
      <w:r>
        <w:t xml:space="preserve">”</w:t>
      </w:r>
      <w:r>
        <w:t xml:space="preserve"> </w:t>
      </w:r>
      <w:r>
        <w:t xml:space="preserve">2019)).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w:t>
      </w:r>
      <w:r>
        <w:t xml:space="preserve"> </w:t>
      </w:r>
      <w:r>
        <w:t xml:space="preserve">. This cattle ranch has supported a productive white stork rookery where storks have been banded and monitored by biologists at UCM for over 20 years &lt;CITE: Aguirre and Atienza&gt;.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(Fraxinus angustifolius ) found within the cattle pasture. Storks that breed within the Prado Herrero rookery are known to utilize Colmenar Viejo Landfill which is located approximately 12km southeast. Colmenar Viejo is an open-air landfill and it is second largest of it’s kind in the Madrid region &lt;CITE: Alejandro 2022&gt;.</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&lt;CITE: &gt;,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6"/>
    <w:bookmarkStart w:id="27" w:name="molecular-analysis-of-args"/>
    <w:p>
      <w:pPr>
        <w:pStyle w:val="Heading3"/>
      </w:pPr>
      <w:r>
        <w:t xml:space="preserve">4.1.2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 Jiang et al. (2013)</w:t>
      </w:r>
      <w:r>
        <w:t xml:space="preserve">. A DNA sample was considered validated when a ten-fold dilution showed a cycle threshold (Ct) less than 25 (Esperón et al., 2018).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 (Nieto-Claudin et al., 2019). We quantified the relative burden of each gene for each sample via the cycle threshold (Ct) for the 16S rRNA and the Ct value of the individual ARG using a previously published formula (Esperón et al., 2020).</w:t>
      </w:r>
    </w:p>
    <w:bookmarkEnd w:id="27"/>
    <w:bookmarkEnd w:id="28"/>
    <w:bookmarkStart w:id="31" w:name="X273d7cdd272a73341e0d24fca9a9ad40dc55bda"/>
    <w:p>
      <w:pPr>
        <w:pStyle w:val="Heading2"/>
      </w:pPr>
      <w:r>
        <w:t xml:space="preserve">4.2 Data import and cleaning (Reference file and give details HERE. Reference a ReadME/doc here)</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1.0.1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(here)</w:t>
      </w:r>
    </w:p>
    <w:bookmarkStart w:id="30"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 (Blanco-Peña et al., 2017).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totalled and used to evalute total gene burdens accross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 &lt;CITE Alejandro 2022&gt;.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bookmarkStart w:id="29" w:name="Xdeed5110a01d4a827e1dff410c611a3308fbb61"/>
    <w:p>
      <w:pPr>
        <w:pStyle w:val="Heading4"/>
      </w:pPr>
      <w:r>
        <w:t xml:space="preserve">4.2.1.1 (Note: still trying to figure out how to do this with the performance package) We evaluated model fit for all models using Akaike Information Criterion scores adjusted for small sample sizes (AICc: Burnham and Anderson, 2002). The best fit model was selected by having a ΔAICc &lt; 2._</w:t>
      </w:r>
    </w:p>
    <w:p>
      <w:r>
        <w:br w:type="page"/>
      </w:r>
    </w:p>
    <w:bookmarkEnd w:id="29"/>
    <w:bookmarkEnd w:id="30"/>
    <w:bookmarkEnd w:id="31"/>
    <w:bookmarkEnd w:id="32"/>
    <w:bookmarkStart w:id="46" w:name="results"/>
    <w:p>
      <w:pPr>
        <w:pStyle w:val="Heading1"/>
      </w:pPr>
      <w:r>
        <w:t xml:space="preserve">5. Results</w:t>
      </w:r>
    </w:p>
    <w:bookmarkStart w:id="34" w:name="X3ecbe87f6de817bd313491f79ddfff00a36fcdb"/>
    <w:p>
      <w:pPr>
        <w:pStyle w:val="Heading2"/>
      </w:pPr>
      <w:r>
        <w:t xml:space="preserve">5.1 Exploratory/Descriptive analysis (SUMMARY STATS IN EXPLORATION FILE TBD -&gt; Burden/MDR associated with each class. summary table? with actual summary stats)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3" w:name="tbl-summarytable"/>
    <w:p>
      <w:pPr>
        <w:pStyle w:val="BodyText"/>
      </w:pPr>
      <w:r>
        <w:rPr>
          <w:bCs/>
          <w:b/>
        </w:rPr>
        <w:t xml:space="preserve">?(caption)</w:t>
      </w:r>
    </w:p>
    <w:bookmarkEnd w:id="33"/>
    <w:bookmarkEnd w:id="34"/>
    <w:bookmarkStart w:id="43"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8" w:name="fig-result-1"/>
          <w:p>
            <w:pPr>
              <w:pStyle w:val="Figure"/>
              <w:jc w:val="center"/>
            </w:pPr>
            <w:r>
              <w:drawing>
                <wp:inline>
                  <wp:extent cx="5334000" cy="3807460"/>
                  <wp:effectExtent b="0" l="0" r="0" t="0"/>
                  <wp:docPr descr="" title="" id="36" name="Picture"/>
                  <a:graphic>
                    <a:graphicData uri="http://schemas.openxmlformats.org/drawingml/2006/picture">
                      <pic:pic>
                        <pic:nvPicPr>
                          <pic:cNvPr descr="../../3%20Analysis%20Scripts/LUIvsBurden_LME.tiff"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8"/>
        </w:tc>
      </w:tr>
    </w:tbl>
    <w:tbl>
      <w:tblPr>
        <w:tblStyle w:val="Table"/>
        <w:tblW w:type="pct" w:w="5000"/>
        <w:tblLook w:firstRow="0" w:lastRow="0" w:firstColumn="0" w:lastColumn="0" w:noHBand="0" w:noVBand="0" w:val="0000"/>
      </w:tblPr>
      <w:tblGrid>
        <w:gridCol w:w="7920"/>
      </w:tblGrid>
      <w:tr>
        <w:tc>
          <w:tcPr/>
          <w:bookmarkStart w:id="42" w:name="fig-result-2"/>
          <w:p>
            <w:pPr>
              <w:pStyle w:val="Figure"/>
              <w:jc w:val="center"/>
            </w:pPr>
            <w:r>
              <w:drawing>
                <wp:inline>
                  <wp:extent cx="5334000" cy="5334000"/>
                  <wp:effectExtent b="0" l="0" r="0" t="0"/>
                  <wp:docPr descr="" title="" id="40" name="Picture"/>
                  <a:graphic>
                    <a:graphicData uri="http://schemas.openxmlformats.org/drawingml/2006/picture">
                      <pic:pic>
                        <pic:nvPicPr>
                          <pic:cNvPr descr="../../3%20Analysis%20Scripts/LUIvsMDR_LME.tiff"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44" w:name="tbl-resulttable2"/>
    <w:p>
      <w:pPr>
        <w:pStyle w:val="SourceCode"/>
      </w:pPr>
      <w:r>
        <w:rPr>
          <w:rStyle w:val="VerbatimChar"/>
        </w:rPr>
        <w:t xml:space="preserve">               Name     Model      AICc_wt Performance_Score</w:t>
      </w:r>
      <w:r>
        <w:br/>
      </w:r>
      <w:r>
        <w:rPr>
          <w:rStyle w:val="VerbatimChar"/>
        </w:rPr>
        <w:t xml:space="preserve">1      glmer_fit_11 _glmerMod 3.254465e-01      1.000000e+00</w:t>
      </w:r>
      <w:r>
        <w:br/>
      </w:r>
      <w:r>
        <w:rPr>
          <w:rStyle w:val="VerbatimChar"/>
        </w:rPr>
        <w:t xml:space="preserve">2       glmer_fit_2 _glmerMod 3.163397e-01      9.720177e-01</w:t>
      </w:r>
      <w:r>
        <w:br/>
      </w:r>
      <w:r>
        <w:rPr>
          <w:rStyle w:val="VerbatimChar"/>
        </w:rPr>
        <w:t xml:space="preserve">3      glmer_fit_12 _glmerMod 1.173421e-01      3.605572e-01</w:t>
      </w:r>
      <w:r>
        <w:br/>
      </w:r>
      <w:r>
        <w:rPr>
          <w:rStyle w:val="VerbatimChar"/>
        </w:rPr>
        <w:t xml:space="preserve">4  glmer_fit_global _glmerMod 9.626812e-02      2.958031e-01</w:t>
      </w:r>
      <w:r>
        <w:br/>
      </w:r>
      <w:r>
        <w:rPr>
          <w:rStyle w:val="VerbatimChar"/>
        </w:rPr>
        <w:t xml:space="preserve">5      glmer_fit_10 _glmerMod 5.617098e-02      1.725966e-01</w:t>
      </w:r>
      <w:r>
        <w:br/>
      </w:r>
      <w:r>
        <w:rPr>
          <w:rStyle w:val="VerbatimChar"/>
        </w:rPr>
        <w:t xml:space="preserve">6       glmer_fit_9 _glmerMod 2.565916e-02      7.884285e-02</w:t>
      </w:r>
      <w:r>
        <w:br/>
      </w:r>
      <w:r>
        <w:rPr>
          <w:rStyle w:val="VerbatimChar"/>
        </w:rPr>
        <w:t xml:space="preserve">7       glmer_fit_8 _glmerMod 2.515228e-02      7.728536e-02</w:t>
      </w:r>
      <w:r>
        <w:br/>
      </w:r>
      <w:r>
        <w:rPr>
          <w:rStyle w:val="VerbatimChar"/>
        </w:rPr>
        <w:t xml:space="preserve">8       glmer_fit_1 _glmerMod 1.927419e-02      5.922374e-02</w:t>
      </w:r>
      <w:r>
        <w:br/>
      </w:r>
      <w:r>
        <w:rPr>
          <w:rStyle w:val="VerbatimChar"/>
        </w:rPr>
        <w:t xml:space="preserve">9       glmer_fit_5 _glmerMod 1.125752e-02      3.459091e-02</w:t>
      </w:r>
      <w:r>
        <w:br/>
      </w:r>
      <w:r>
        <w:rPr>
          <w:rStyle w:val="VerbatimChar"/>
        </w:rPr>
        <w:t xml:space="preserve">10      glmer_fit_6 _glmerMod 7.089238e-03      2.178302e-02</w:t>
      </w:r>
      <w:r>
        <w:br/>
      </w:r>
      <w:r>
        <w:rPr>
          <w:rStyle w:val="VerbatimChar"/>
        </w:rPr>
        <w:t xml:space="preserve">11   glmer_fit_null _glmerMod 9.237380e-08      1.879885e-07</w:t>
      </w:r>
      <w:r>
        <w:br/>
      </w:r>
      <w:r>
        <w:rPr>
          <w:rStyle w:val="VerbatimChar"/>
        </w:rPr>
        <w:t xml:space="preserve">12      glmer_fit_3 _glmerMod 7.243553e-08      1.267242e-07</w:t>
      </w:r>
      <w:r>
        <w:br/>
      </w:r>
      <w:r>
        <w:rPr>
          <w:rStyle w:val="VerbatimChar"/>
        </w:rPr>
        <w:t xml:space="preserve">13      glmer_fit_4 _glmerMod 3.605959e-08      1.495174e-08</w:t>
      </w:r>
      <w:r>
        <w:br/>
      </w:r>
      <w:r>
        <w:rPr>
          <w:rStyle w:val="VerbatimChar"/>
        </w:rPr>
        <w:t xml:space="preserve">14      glmer_fit_7 _glmerMod 3.119360e-08      0.000000e+00</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p>
      <w:pPr>
        <w:pStyle w:val="BodyText"/>
      </w:pPr>
      <w:r>
        <w:t xml:space="preserve">Linear model fit table.</w:t>
      </w:r>
    </w:p>
    <w:bookmarkEnd w:id="44"/>
    <w:p>
      <w:r>
        <w:br w:type="page"/>
      </w:r>
    </w:p>
    <w:bookmarkEnd w:id="45"/>
    <w:bookmarkEnd w:id="46"/>
    <w:bookmarkStart w:id="51" w:name="discussion"/>
    <w:p>
      <w:pPr>
        <w:pStyle w:val="Heading1"/>
      </w:pPr>
      <w:r>
        <w:t xml:space="preserve">6. Discussion</w:t>
      </w:r>
    </w:p>
    <w:bookmarkStart w:id="47"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47"/>
    <w:bookmarkStart w:id="48"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48"/>
    <w:bookmarkStart w:id="50"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 (Bialas et al 2021) 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pPr>
        <w:pStyle w:val="BodyText"/>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0"/>
    <w:bookmarkEnd w:id="51"/>
    <w:bookmarkStart w:id="59" w:name="references"/>
    <w:p>
      <w:pPr>
        <w:pStyle w:val="Heading1"/>
      </w:pPr>
      <w:r>
        <w:t xml:space="preserve">7. References</w:t>
      </w:r>
    </w:p>
    <w:bookmarkStart w:id="58" w:name="refs"/>
    <w:bookmarkStart w:id="5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2">
        <w:r>
          <w:rPr>
            <w:rStyle w:val="Hyperlink"/>
          </w:rPr>
          <w:t xml:space="preserve">https://doi.org/10.1126/science.aaa6146</w:t>
        </w:r>
      </w:hyperlink>
    </w:p>
    <w:bookmarkEnd w:id="53"/>
    <w:bookmarkStart w:id="5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4">
        <w:r>
          <w:rPr>
            <w:rStyle w:val="Hyperlink"/>
          </w:rPr>
          <w:t xml:space="preserve">https://doi.org/10.1093/ofid/ofaa494</w:t>
        </w:r>
      </w:hyperlink>
    </w:p>
    <w:bookmarkEnd w:id="55"/>
    <w:bookmarkStart w:id="5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6">
        <w:r>
          <w:rPr>
            <w:rStyle w:val="Hyperlink"/>
          </w:rPr>
          <w:t xml:space="preserve">https://doi.org/10.1098/rspb.2020.0496</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tiff" /><Relationship Type="http://schemas.openxmlformats.org/officeDocument/2006/relationships/image" Id="rId39" Target="media/rId39.tiff"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2023-04-07T21:53:29Z</dcterms:created>
  <dcterms:modified xsi:type="dcterms:W3CDTF">2023-04-07T21:53:29Z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Exploring the diversity and burden of antimicrobial resistance genes carried by white stork (Ciconia ciconia) throughout the breeding season in Madrid, Spain</vt:lpwstr>
  </property>
  <property fmtid="{D5CDD505-2E9C-101B-9397-08002B2CF9AE}" pid="13" name="toc-title">
    <vt:lpwstr>Table of contents</vt:lpwstr>
  </property>
</Properties>
</file>