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firstLine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0" w:before="0" w:line="360" w:lineRule="auto"/>
        <w:ind w:firstLine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0" w:before="0" w:line="360" w:lineRule="auto"/>
        <w:ind w:firstLine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ВЫСШЕГО ОБРАЗОВАНИЯ</w:t>
        <w:br w:type="textWrapping"/>
        <w:t xml:space="preserve">“ВОРОНЕЖСКИЙ ГОСУДАРСТВЕННЫЙ УНИВЕРСИТЕТ”</w:t>
      </w:r>
    </w:p>
    <w:p w:rsidR="00000000" w:rsidDel="00000000" w:rsidP="00000000" w:rsidRDefault="00000000" w:rsidRPr="00000000" w14:paraId="00000004">
      <w:pPr>
        <w:spacing w:after="0" w:before="24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4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4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7">
      <w:pPr>
        <w:spacing w:after="0" w:before="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информационных технологий управления</w:t>
      </w:r>
    </w:p>
    <w:p w:rsidR="00000000" w:rsidDel="00000000" w:rsidP="00000000" w:rsidRDefault="00000000" w:rsidRPr="00000000" w14:paraId="00000008">
      <w:pPr>
        <w:spacing w:after="0" w:before="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 управляющей компании “ВКУ (Воронеж Коммунальные Услуги)”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Курсовой проект</w:t>
      </w:r>
    </w:p>
    <w:p w:rsidR="00000000" w:rsidDel="00000000" w:rsidP="00000000" w:rsidRDefault="00000000" w:rsidRPr="00000000" w14:paraId="0000000B">
      <w:pPr>
        <w:spacing w:after="0" w:before="24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09.03.02 Информационные системы и технологии</w:t>
      </w:r>
    </w:p>
    <w:p w:rsidR="00000000" w:rsidDel="00000000" w:rsidP="00000000" w:rsidRDefault="00000000" w:rsidRPr="00000000" w14:paraId="0000000C">
      <w:pPr>
        <w:spacing w:before="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Информационные технологии управления</w:t>
      </w:r>
    </w:p>
    <w:p w:rsidR="00000000" w:rsidDel="00000000" w:rsidP="00000000" w:rsidRDefault="00000000" w:rsidRPr="00000000" w14:paraId="0000000D">
      <w:pPr>
        <w:spacing w:before="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Обучающийся ______________ М.Н. Котолевский, 3 курс, д/о</w:t>
      </w:r>
    </w:p>
    <w:p w:rsidR="00000000" w:rsidDel="00000000" w:rsidP="00000000" w:rsidRDefault="00000000" w:rsidRPr="00000000" w14:paraId="0000001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Обучающийся ______________ Н.В. Салова, 3 курс, д/о</w:t>
      </w:r>
    </w:p>
    <w:p w:rsidR="00000000" w:rsidDel="00000000" w:rsidP="00000000" w:rsidRDefault="00000000" w:rsidRPr="00000000" w14:paraId="0000001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Обучающийся ______________ А.И. Андропова, 3 курс, д/о</w:t>
      </w:r>
    </w:p>
    <w:p w:rsidR="00000000" w:rsidDel="00000000" w:rsidP="00000000" w:rsidRDefault="00000000" w:rsidRPr="00000000" w14:paraId="0000001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Воронеж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yvu8r4sxqsn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1008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xzi7z3sdff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_2xzi7z3sdff3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08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hobypoz790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_fhobypoz790e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08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tyulgqm35o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предметной области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_jtyulgqm35o3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080"/>
            </w:tabs>
            <w:spacing w:before="20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kvrirgilok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Глоссарий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_akvrirgilok0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080"/>
            </w:tabs>
            <w:spacing w:before="20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vnp8sugdislh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существующих решений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_vnp8sugdislh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08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xlml6ef5gw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_4xlml6ef5gwy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08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wtb3bas3g4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средств реализации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_1wtb3bas3g49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08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cmv1dk7o3h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Реализация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_ccmv1dk7o3hf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008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amf0s3cnv7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_5amf0s3cnv75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08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621jhr142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_k621jhr142wt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08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e1nz4siega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используемой литературы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_ne1nz4siegad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24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240" w:before="240" w:line="360" w:lineRule="auto"/>
        <w:ind w:firstLine="360"/>
        <w:jc w:val="center"/>
        <w:rPr/>
      </w:pPr>
      <w:bookmarkStart w:colFirst="0" w:colLast="0" w:name="_2xzi7z3sdff3" w:id="1"/>
      <w:bookmarkEnd w:id="1"/>
      <w:r w:rsidDel="00000000" w:rsidR="00000000" w:rsidRPr="00000000">
        <w:rPr>
          <w:rtl w:val="0"/>
        </w:rPr>
        <w:t xml:space="preserve">Введение 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Согласно действующему законодательству РФ, каждый собственник жилого помещения обязан оплачивать предоставляемые коммунальные услуги. Задача данного проекта состоит в том, чтобы продемонстрировать все положительные стороны оплаты с помощью сайта управляющей компании, максимально упростив процесс передачи показаний приборов учета и непосредственно оплаты, и, соответственно, привлечь к данному способу новых пользователей. 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настоящее время на просторах Интернета можно найти множество сайтов различных управляющих компаний, предоставляющих коммунальные услуги. Однако каждый из них не идеален и имеет свои недостатки, среди которых можно отметить: устаревший или сложный интерфейс, отсутствие личного кабинета для клиентов данной управляющей компании, а также возможности просмотра актуальных тарифов и истории платежей по коммунальным услугам.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Согласно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опросу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аналитического центра НАФИ 2010 года, 21% опрошенных, являющихся пользователями Интернета, заявили, что не знают о подобной возможности оплаты коммунальных услуг (с помощью Интернета), 46% - что им важно получить документ, подтверждающий факт совершения оплаты.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курсовой проект направлен на создание веб-приложения управляющей компании для сбора показаний индивидуальных приборов учета в многоквартирных домах и выставления счетов за потребленные услуги с возможностью их оплаты для клиентов и последующего получения соответствующего документа в электронном виде. Сайт должен быть лишен приведенных выше минусов существующих решений в данной сфере и при этом сохранять все их положительные стороны. С помощью данного решения мы надеемся развеять сомнения потенциальных пользователей и привлечь их к использованию готового ресурса. 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Итоговый вариант разрабатываемого сайта должен иметь следующую основную необходимую функциональность: 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понятный интерфейс, не требующий больших временных затрат на освоение, в котором сможет ориентироваться любой пользователь: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spacing w:after="0" w:afterAutospacing="0" w:before="0" w:beforeAutospacing="0" w:line="360" w:lineRule="auto"/>
        <w:ind w:left="1170" w:hanging="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цвета в дизайне не должны быть слишком яркими, чтобы не привлекать излишнего внимания, поскольку приложение нацелено не на развлекательный контент, а на предоставление возможности для упрощения процесса взаимодействия со службами жилищно-коммунального хозяйства;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after="200" w:afterAutospacing="0" w:before="0" w:line="360" w:lineRule="auto"/>
        <w:ind w:left="1170" w:hanging="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навигация по сайту должна осуществляться путем перемещения посетителя по страницам с логичным названием, которое полностью отражало бы их содержание; структура панели меню не должна характеризоваться излишней вложенностью кроме тех мест, где это логически необходимо и обоснованно (не более двух уровней вложенности);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20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личный кабинет, предоставляющий зарегистрированному (и авторизованному) пользователю возможность передачи показаний индивидуальных приборов учета;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обратной связи для зарегистрированных (и авторизованных) пользователей с возможностью подачи заявления на внесение изменений в переданные показания прибора учета (например, при передаче ошибочных данных);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предоставление квитанции для оплаты коммунальных услуг в каждом расчетном периоде, содержащей подробную информацию об объемах начислений и суммах к оплате по каждому из видов показаний.</w:t>
      </w:r>
    </w:p>
    <w:p w:rsidR="00000000" w:rsidDel="00000000" w:rsidP="00000000" w:rsidRDefault="00000000" w:rsidRPr="00000000" w14:paraId="00000037">
      <w:pPr>
        <w:pStyle w:val="Heading2"/>
        <w:spacing w:after="240" w:before="240" w:line="360" w:lineRule="auto"/>
        <w:ind w:left="720" w:firstLine="0"/>
        <w:rPr/>
      </w:pPr>
      <w:bookmarkStart w:colFirst="0" w:colLast="0" w:name="_j0wc9jdymyht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7"/>
        </w:numPr>
        <w:spacing w:after="240" w:before="240" w:line="360" w:lineRule="auto"/>
        <w:ind w:left="0" w:firstLine="360"/>
        <w:rPr/>
      </w:pPr>
      <w:bookmarkStart w:colFirst="0" w:colLast="0" w:name="_fhobypoz790e" w:id="3"/>
      <w:bookmarkEnd w:id="3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9">
      <w:pPr>
        <w:spacing w:after="200" w:line="360" w:lineRule="auto"/>
        <w:ind w:left="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данной курсовой работы - реализовать веб-приложение, отвечающее следующим требованиям: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страницы выполнены в едином стиле;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дизайн сайта не перегружен функционалом и внешним видом, что позволяет пользователю сконцентрироваться на полезных возмозможностях сервиса;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стабильная работа в браузере Google Chrome, версии 89.0.4389.114;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адаптивность сайта на мобильные устройства;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у пользователя необходимости в дополнительной справке для полноценного использования сервиса, которое включает в себя следующие возможности: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регистрация/авторизация;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 показаний индивидуальных приборов учета;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составления обращения в службу helpdesk при необходимости внесения изменений в переданные показания индивидуальных приборов учета;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истории квитанций;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отдельной квитанции с подробной расшифровкой начислений;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отдельной квитанции в формате PDF документа;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редактирование данных в личном кабинете;</w:t>
      </w:r>
    </w:p>
    <w:p w:rsidR="00000000" w:rsidDel="00000000" w:rsidP="00000000" w:rsidRDefault="00000000" w:rsidRPr="00000000" w14:paraId="00000046">
      <w:pPr>
        <w:spacing w:after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стороны администратора: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внесение изменений в действующие тарифы по коммунальным услугам;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рассмотрение обращений в службе helpdesk.</w:t>
      </w:r>
    </w:p>
    <w:p w:rsidR="00000000" w:rsidDel="00000000" w:rsidP="00000000" w:rsidRDefault="00000000" w:rsidRPr="00000000" w14:paraId="00000049">
      <w:pPr>
        <w:spacing w:after="200" w:line="360" w:lineRule="auto"/>
        <w:ind w:left="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достижения данной цели были выделены следующие задачи: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frontend части, находящейся на устройстве (компьютере или мобильном устройстве) пользователя;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backend части, развернутой на удаленном сервере;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базы данных, расположенной на удаленном сервере;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связи между частями frontend и backend.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7"/>
        </w:numPr>
        <w:spacing w:after="200" w:lineRule="auto"/>
        <w:ind w:left="0" w:firstLine="360"/>
        <w:rPr/>
      </w:pPr>
      <w:bookmarkStart w:colFirst="0" w:colLast="0" w:name="_jtyulgqm35o3" w:id="4"/>
      <w:bookmarkEnd w:id="4"/>
      <w:r w:rsidDel="00000000" w:rsidR="00000000" w:rsidRPr="00000000">
        <w:rPr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7"/>
        </w:numPr>
        <w:spacing w:after="200" w:lineRule="auto"/>
        <w:ind w:left="0" w:firstLine="360"/>
        <w:rPr/>
      </w:pPr>
      <w:bookmarkStart w:colFirst="0" w:colLast="0" w:name="_akvrirgilok0" w:id="5"/>
      <w:bookmarkEnd w:id="5"/>
      <w:r w:rsidDel="00000000" w:rsidR="00000000" w:rsidRPr="00000000">
        <w:rPr>
          <w:rtl w:val="0"/>
        </w:rPr>
        <w:t xml:space="preserve">Глоссарий</w:t>
      </w:r>
    </w:p>
    <w:p w:rsidR="00000000" w:rsidDel="00000000" w:rsidP="00000000" w:rsidRDefault="00000000" w:rsidRPr="00000000" w14:paraId="00000051">
      <w:pPr>
        <w:spacing w:after="200" w:before="240"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Индивидуальный прибор учета (ИПУ)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средство измерения, используемое для определения объемов (количества) потребления коммунальных ресурсов потребителями, проживающими в одном жилом помещении многоквартирного дома или в жилом доме.</w:t>
      </w:r>
    </w:p>
    <w:p w:rsidR="00000000" w:rsidDel="00000000" w:rsidP="00000000" w:rsidRDefault="00000000" w:rsidRPr="00000000" w14:paraId="00000052">
      <w:pPr>
        <w:spacing w:after="240" w:before="0" w:line="360" w:lineRule="auto"/>
        <w:ind w:firstLine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Тариф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стоимость единицы услуги, которая измерена в натуральном выражении - кубометр, киловатт и так далее; объем потребляемых услуг на одного человека.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7"/>
        </w:numPr>
        <w:spacing w:after="200" w:lineRule="auto"/>
        <w:ind w:left="0" w:firstLine="360"/>
      </w:pPr>
      <w:bookmarkStart w:colFirst="0" w:colLast="0" w:name="_vnp8sugdislh" w:id="6"/>
      <w:bookmarkEnd w:id="6"/>
      <w:r w:rsidDel="00000000" w:rsidR="00000000" w:rsidRPr="00000000">
        <w:rPr>
          <w:rtl w:val="0"/>
        </w:rPr>
        <w:t xml:space="preserve">Анализ существующих решений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200" w:line="36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https://doverie-adler.ru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Достоинства: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доступная информация об обслуживаемых объектах;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обратной связи (в том числе для незарегистрированного пользователя);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удобный формат просмотра актуальных значений тарифов в виде подробных таблиц по каждому виду начислений;</w:t>
      </w:r>
    </w:p>
    <w:p w:rsidR="00000000" w:rsidDel="00000000" w:rsidP="00000000" w:rsidRDefault="00000000" w:rsidRPr="00000000" w14:paraId="00000059">
      <w:pPr>
        <w:spacing w:after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Недостатки: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дизайн сайта не соответствует ожиданиям современного пользователя;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списки должников по коммунальным услугам доступны любому (в том числе незарегистрированному пользователю), что является крайне неэтичным;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0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регистрации необходимо указывать и лицевой счет, и адрес, после чего ожидать ответа на электронную почту с данными для входа - все это образует довольно сложную систему и может отпугнуть потенциального пользователя;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00" w:line="36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http://ukvyborgec.ru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Достоинства: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обратной связи (в том числе для незарегистрированного пользователя);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авторизации через сторонние сервисы;</w:t>
      </w:r>
    </w:p>
    <w:p w:rsidR="00000000" w:rsidDel="00000000" w:rsidP="00000000" w:rsidRDefault="00000000" w:rsidRPr="00000000" w14:paraId="00000061">
      <w:pPr>
        <w:spacing w:after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Недостатки: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возможности регистрации и какой-либо информации о других возможных способах использования данного ресурса;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0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возможности в удобном формате просматривать актуальные тарифы на коммунальные услуги (можно только скачать документы с изменениями тарифов);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200" w:line="36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https://uk-orion.org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Достоинства: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современный дизайн;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авторизации через сторонние сервисы;</w:t>
      </w:r>
    </w:p>
    <w:p w:rsidR="00000000" w:rsidDel="00000000" w:rsidP="00000000" w:rsidRDefault="00000000" w:rsidRPr="00000000" w14:paraId="00000068">
      <w:pPr>
        <w:spacing w:after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Недостатки: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формы обратной связи;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информации об обслуживаемых адресах;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работают ссылки на социальные сети в шапке сайта, что, как и любая функция, не осуществленная должным образом, негативно сказывается на общем впечатление пользователя от данного сервиса;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0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возможности регистрации;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200" w:line="36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http://www.ucsodr.ru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Достоинства: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обслуживаемые объекты наглядно отображаются на карте;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предоставлена информация о работе офиса в текущий момент, что является крайне удобным для потенциального пользователя, поскольку ему не придется самостоятельно искать информацию о режиме работы офиса;</w:t>
      </w:r>
    </w:p>
    <w:p w:rsidR="00000000" w:rsidDel="00000000" w:rsidP="00000000" w:rsidRDefault="00000000" w:rsidRPr="00000000" w14:paraId="00000071">
      <w:pPr>
        <w:spacing w:after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Недостатки: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низкое разрешение изображений в значительной мере портит эстетическое впечатление от использования данного сервиса;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отсутствует личный кабинет пользователя, а значит, нет возможности вносить показания ИПУ на самом сайте управляющей компании и просматривать историю квитанций;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формы обратной связи;</w:t>
      </w:r>
    </w:p>
    <w:p w:rsidR="00000000" w:rsidDel="00000000" w:rsidP="00000000" w:rsidRDefault="00000000" w:rsidRPr="00000000" w14:paraId="00000075">
      <w:pPr>
        <w:pStyle w:val="Heading2"/>
        <w:ind w:left="1440" w:firstLine="0"/>
        <w:rPr/>
      </w:pPr>
      <w:bookmarkStart w:colFirst="0" w:colLast="0" w:name="_m7lufuhg2nbu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7"/>
        </w:numPr>
        <w:spacing w:after="0" w:afterAutospacing="0"/>
        <w:ind w:left="0" w:firstLine="360"/>
        <w:rPr/>
      </w:pPr>
      <w:bookmarkStart w:colFirst="0" w:colLast="0" w:name="_4xlml6ef5gwy" w:id="8"/>
      <w:bookmarkEnd w:id="8"/>
      <w:r w:rsidDel="00000000" w:rsidR="00000000" w:rsidRPr="00000000">
        <w:rPr>
          <w:rtl w:val="0"/>
        </w:rPr>
        <w:t xml:space="preserve">Анализ задачи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0"/>
          <w:numId w:val="7"/>
        </w:numPr>
        <w:spacing w:after="0" w:afterAutospacing="0" w:before="0" w:beforeAutospacing="0"/>
        <w:ind w:left="0" w:firstLine="360"/>
        <w:rPr/>
      </w:pPr>
      <w:bookmarkStart w:colFirst="0" w:colLast="0" w:name="_1wtb3bas3g49" w:id="9"/>
      <w:bookmarkEnd w:id="9"/>
      <w:r w:rsidDel="00000000" w:rsidR="00000000" w:rsidRPr="00000000">
        <w:rPr>
          <w:rtl w:val="0"/>
        </w:rPr>
        <w:t xml:space="preserve">Анализ средств реализации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0"/>
          <w:numId w:val="7"/>
        </w:numPr>
        <w:spacing w:after="0" w:afterAutospacing="0" w:before="0" w:beforeAutospacing="0"/>
        <w:ind w:left="0" w:firstLine="360"/>
        <w:rPr/>
      </w:pPr>
      <w:bookmarkStart w:colFirst="0" w:colLast="0" w:name="_ccmv1dk7o3hf" w:id="10"/>
      <w:bookmarkEnd w:id="10"/>
      <w:r w:rsidDel="00000000" w:rsidR="00000000" w:rsidRPr="00000000">
        <w:rPr>
          <w:rtl w:val="0"/>
        </w:rPr>
        <w:t xml:space="preserve">Реализация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0"/>
          <w:numId w:val="7"/>
        </w:numPr>
        <w:spacing w:before="0" w:beforeAutospacing="0"/>
        <w:ind w:left="0" w:firstLine="360"/>
        <w:rPr/>
      </w:pPr>
      <w:bookmarkStart w:colFirst="0" w:colLast="0" w:name="_5amf0s3cnv75" w:id="11"/>
      <w:bookmarkEnd w:id="11"/>
      <w:r w:rsidDel="00000000" w:rsidR="00000000" w:rsidRPr="00000000">
        <w:rPr>
          <w:rtl w:val="0"/>
        </w:rPr>
        <w:t xml:space="preserve">Тестирование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ind w:firstLine="360"/>
        <w:rPr/>
      </w:pPr>
      <w:bookmarkStart w:colFirst="0" w:colLast="0" w:name="_k621jhr142wt" w:id="12"/>
      <w:bookmarkEnd w:id="12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7B">
      <w:pPr>
        <w:pStyle w:val="Heading2"/>
        <w:spacing w:after="240" w:before="240" w:line="360" w:lineRule="auto"/>
        <w:ind w:firstLine="360"/>
        <w:jc w:val="center"/>
        <w:rPr/>
      </w:pPr>
      <w:bookmarkStart w:colFirst="0" w:colLast="0" w:name="_uh7yj6zytu9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after="240" w:before="240" w:line="360" w:lineRule="auto"/>
        <w:ind w:firstLine="360"/>
        <w:jc w:val="center"/>
        <w:rPr/>
      </w:pPr>
      <w:bookmarkStart w:colFirst="0" w:colLast="0" w:name="_ne1nz4siegad" w:id="14"/>
      <w:bookmarkEnd w:id="14"/>
      <w:r w:rsidDel="00000000" w:rsidR="00000000" w:rsidRPr="00000000">
        <w:rPr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Аналитический центр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НАФИ: “Популярные способы оплаты услуг ЖКХ”, 2010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https://www.nafi.ru/analytics/populyarnye-sposoby-oplaty-uslug-zhkkh/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5840" w:w="12240" w:orient="portrait"/>
      <w:pgMar w:bottom="1440" w:top="1440" w:left="144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360" w:lineRule="auto"/>
      <w:ind w:firstLine="36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afi.ru/analytics/populyarnye-sposoby-oplaty-uslug-zhkkh/" TargetMode="External"/><Relationship Id="rId10" Type="http://schemas.openxmlformats.org/officeDocument/2006/relationships/hyperlink" Target="http://www.ucsodr.ru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k-orion.org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nafi.ru/analytics/populyarnye-sposoby-oplaty-uslug-zhkkh/" TargetMode="External"/><Relationship Id="rId7" Type="http://schemas.openxmlformats.org/officeDocument/2006/relationships/hyperlink" Target="https://doverie-adler.ru" TargetMode="External"/><Relationship Id="rId8" Type="http://schemas.openxmlformats.org/officeDocument/2006/relationships/hyperlink" Target="http://ukvyborgec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