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безопасноть</w:t>
      </w:r>
    </w:p>
    <w:p>
      <w:pPr>
        <w:pStyle w:val="Author"/>
      </w:pPr>
      <w:r>
        <w:t xml:space="preserve">Астафьева</w:t>
      </w:r>
      <w:r>
        <w:t xml:space="preserve"> </w:t>
      </w:r>
      <w:r>
        <w:t xml:space="preserve">Анна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теоретическое-описание"/>
    <w:p>
      <w:pPr>
        <w:pStyle w:val="Heading1"/>
      </w:pPr>
      <w:r>
        <w:t xml:space="preserve">Теоретическое описание</w:t>
      </w:r>
    </w:p>
    <w:p>
      <w:pPr>
        <w:pStyle w:val="FirstParagraph"/>
      </w:pPr>
      <w:r>
        <w:t xml:space="preserve">Исходные данные.</w:t>
      </w:r>
      <w:r>
        <w:br/>
      </w:r>
      <w:r>
        <w:t xml:space="preserve">Две телеграммы Центра: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 НаВашисходящийот1204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ВСеверныйфилиалБанка</w:t>
      </w:r>
    </w:p>
    <w:p>
      <w:pPr>
        <w:pStyle w:val="BodyText"/>
      </w:pPr>
      <w:r>
        <w:t xml:space="preserve">Ключ Центра длиной 20 байт:</w:t>
      </w:r>
      <w:r>
        <w:br/>
      </w:r>
      <m:oMath>
        <m:r>
          <m:t>K</m:t>
        </m:r>
      </m:oMath>
      <w:r>
        <w:t xml:space="preserve"> </w:t>
      </w:r>
      <w:r>
        <w:t xml:space="preserve">= 05 0C 17 7F 0E 4E 37 D2 94 10 09 2E 22 57 FF C8 OB B2 70 54</w:t>
      </w:r>
    </w:p>
    <w:p>
      <w:pPr>
        <w:pStyle w:val="BodyText"/>
      </w:pPr>
      <w:r>
        <w:t xml:space="preserve">Шифротексты обеих телеграмм можно получить по формулам режима однократного гаммирования: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 Таким образом, злоумышленник получает возможность определить те</w:t>
      </w:r>
      <w:r>
        <w:t xml:space="preserve"> </w:t>
      </w:r>
      <w:r>
        <w:t xml:space="preserve">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Затем используется подстановка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И так далее.</w:t>
      </w:r>
      <w:r>
        <w:br/>
      </w:r>
      <w:r>
        <w:t xml:space="preserve">Действуя подобным образом, злоумышленник даже если не прочитает оба</w:t>
      </w:r>
      <w:r>
        <w:t xml:space="preserve"> </w:t>
      </w:r>
      <w:r>
        <w:t xml:space="preserve">сообщения, то значительно уменьшит пространство их поиска.</w:t>
      </w:r>
    </w:p>
    <w:bookmarkEnd w:id="21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</w:t>
      </w:r>
      <w:r>
        <w:br/>
      </w:r>
      <w:r>
        <w:t xml:space="preserve">Исходные данные.</w:t>
      </w:r>
      <w:r>
        <w:br/>
      </w:r>
      <w:r>
        <w:t xml:space="preserve">Две телеграммы Центра: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 НаВашисходящийот1204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 ВСеверныйфилиалБанка</w:t>
      </w:r>
    </w:p>
    <w:p>
      <w:pPr>
        <w:numPr>
          <w:ilvl w:val="0"/>
          <w:numId w:val="1001"/>
        </w:numPr>
        <w:pStyle w:val="Compact"/>
      </w:pPr>
      <w:r>
        <w:t xml:space="preserve">Необходимо разработать приложение, позволяющее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 Приложение должно определить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при известном ключе ;</w:t>
      </w:r>
    </w:p>
    <w:p>
      <w:pPr>
        <w:pStyle w:val="FirstParagraph"/>
      </w:pPr>
      <w:r>
        <w:t xml:space="preserve">Используем функции из лабораторной работы №7:</w:t>
      </w:r>
    </w:p>
    <w:p>
      <w:pPr>
        <w:pStyle w:val="BodyText"/>
      </w:pPr>
      <w:r>
        <w:t xml:space="preserve">1.1. Функция</w:t>
      </w:r>
      <w:r>
        <w:t xml:space="preserve"> </w:t>
      </w:r>
      <w:r>
        <w:rPr>
          <w:iCs/>
          <w:i/>
        </w:rPr>
        <w:t xml:space="preserve">encryption</w:t>
      </w:r>
      <w:r>
        <w:t xml:space="preserve"> </w:t>
      </w:r>
      <w:r>
        <w:t xml:space="preserve">с помощью однократного гаммирования из сообщения и ключа получает шифротекст (рис. 1).</w:t>
      </w:r>
    </w:p>
    <w:p>
      <w:pPr>
        <w:pStyle w:val="CaptionedFigure"/>
      </w:pPr>
      <w:bookmarkStart w:id="23" w:name="fig:001"/>
      <w:r>
        <w:drawing>
          <wp:inline>
            <wp:extent cx="5178391" cy="1944303"/>
            <wp:effectExtent b="0" l="0" r="0" t="0"/>
            <wp:docPr descr="Figure 1: Код функции encryption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194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Код функции</w:t>
      </w:r>
      <w:r>
        <w:t xml:space="preserve"> </w:t>
      </w:r>
      <w:r>
        <w:rPr>
          <w:iCs/>
          <w:i/>
        </w:rPr>
        <w:t xml:space="preserve">encryption</w:t>
      </w:r>
    </w:p>
    <w:p>
      <w:pPr>
        <w:pStyle w:val="BodyText"/>
      </w:pPr>
      <w:r>
        <w:t xml:space="preserve">1.2. Функция</w:t>
      </w:r>
      <w:r>
        <w:t xml:space="preserve"> </w:t>
      </w:r>
      <w:r>
        <w:rPr>
          <w:iCs/>
          <w:i/>
        </w:rPr>
        <w:t xml:space="preserve">to_hex</w:t>
      </w:r>
      <w:r>
        <w:t xml:space="preserve">, трансформирующая текст в шестнадцатиричное представление (рис. 2).</w:t>
      </w:r>
    </w:p>
    <w:p>
      <w:pPr>
        <w:pStyle w:val="CaptionedFigure"/>
      </w:pPr>
      <w:bookmarkStart w:id="25" w:name="fig:002"/>
      <w:r>
        <w:drawing>
          <wp:inline>
            <wp:extent cx="4706753" cy="1212783"/>
            <wp:effectExtent b="0" l="0" r="0" t="0"/>
            <wp:docPr descr="Figure 2: Код функции to_hex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Код функции</w:t>
      </w:r>
      <w:r>
        <w:t xml:space="preserve"> </w:t>
      </w:r>
      <w:r>
        <w:rPr>
          <w:iCs/>
          <w:i/>
        </w:rPr>
        <w:t xml:space="preserve">to_hex</w:t>
      </w:r>
    </w:p>
    <w:p>
      <w:pPr>
        <w:pStyle w:val="BodyText"/>
      </w:pPr>
      <w:r>
        <w:t xml:space="preserve">Написаны еще несколько функций:</w:t>
      </w:r>
    </w:p>
    <w:p>
      <w:pPr>
        <w:pStyle w:val="BodyText"/>
      </w:pPr>
      <w:r>
        <w:t xml:space="preserve">1.3. Функция</w:t>
      </w:r>
      <w:r>
        <w:t xml:space="preserve"> </w:t>
      </w:r>
      <w:r>
        <w:rPr>
          <w:iCs/>
          <w:i/>
        </w:rPr>
        <w:t xml:space="preserve">to_text</w:t>
      </w:r>
      <w:r>
        <w:t xml:space="preserve">, трансформирующая текст в шестнадцатиричном представлении в символьное (рис. 3)</w:t>
      </w:r>
    </w:p>
    <w:p>
      <w:pPr>
        <w:pStyle w:val="CaptionedFigure"/>
      </w:pPr>
      <w:bookmarkStart w:id="27" w:name="fig:003"/>
      <w:r>
        <w:drawing>
          <wp:inline>
            <wp:extent cx="3907856" cy="1068404"/>
            <wp:effectExtent b="0" l="0" r="0" t="0"/>
            <wp:docPr descr="Figure 3: Код функции to_tex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106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Код функции</w:t>
      </w:r>
      <w:r>
        <w:t xml:space="preserve"> </w:t>
      </w:r>
      <w:r>
        <w:rPr>
          <w:iCs/>
          <w:i/>
        </w:rPr>
        <w:t xml:space="preserve">to_text</w:t>
      </w:r>
    </w:p>
    <w:p>
      <w:pPr>
        <w:pStyle w:val="BodyText"/>
      </w:pPr>
      <w:r>
        <w:t xml:space="preserve">1.4. Функция</w:t>
      </w:r>
      <w:r>
        <w:t xml:space="preserve"> </w:t>
      </w:r>
      <w:r>
        <w:rPr>
          <w:iCs/>
          <w:i/>
        </w:rPr>
        <w:t xml:space="preserve">chra</w:t>
      </w:r>
      <w:r>
        <w:t xml:space="preserve">, преобразовывающая число в символ (рис. 4)</w:t>
      </w:r>
    </w:p>
    <w:p>
      <w:pPr>
        <w:pStyle w:val="CaptionedFigure"/>
      </w:pPr>
      <w:bookmarkStart w:id="29" w:name="fig:004"/>
      <w:r>
        <w:drawing>
          <wp:inline>
            <wp:extent cx="4283242" cy="1337911"/>
            <wp:effectExtent b="0" l="0" r="0" t="0"/>
            <wp:docPr descr="Figure 4: Код функции chra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133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Код функции</w:t>
      </w:r>
      <w:r>
        <w:t xml:space="preserve"> </w:t>
      </w:r>
      <w:r>
        <w:rPr>
          <w:iCs/>
          <w:i/>
        </w:rPr>
        <w:t xml:space="preserve">chra</w:t>
      </w:r>
    </w:p>
    <w:p>
      <w:pPr>
        <w:pStyle w:val="BodyText"/>
      </w:pPr>
      <w:r>
        <w:t xml:space="preserve">1.5. Функция</w:t>
      </w:r>
      <w:r>
        <w:t xml:space="preserve"> </w:t>
      </w:r>
      <w:r>
        <w:rPr>
          <w:iCs/>
          <w:i/>
        </w:rPr>
        <w:t xml:space="preserve">orda</w:t>
      </w:r>
      <w:r>
        <w:t xml:space="preserve">, преобразовывающая символ в число (рис. 5)</w:t>
      </w:r>
    </w:p>
    <w:p>
      <w:pPr>
        <w:pStyle w:val="CaptionedFigure"/>
      </w:pPr>
      <w:bookmarkStart w:id="31" w:name="fig:005"/>
      <w:r>
        <w:drawing>
          <wp:inline>
            <wp:extent cx="3282214" cy="462012"/>
            <wp:effectExtent b="0" l="0" r="0" t="0"/>
            <wp:docPr descr="Figure 5: Код функции orda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Код функции</w:t>
      </w:r>
      <w:r>
        <w:t xml:space="preserve"> </w:t>
      </w:r>
      <w:r>
        <w:rPr>
          <w:iCs/>
          <w:i/>
        </w:rPr>
        <w:t xml:space="preserve">orda</w:t>
      </w:r>
    </w:p>
    <w:p>
      <w:pPr>
        <w:pStyle w:val="BodyText"/>
      </w:pPr>
      <w:r>
        <w:t xml:space="preserve">Шифруем оба сообщения (рис. 6):</w:t>
      </w:r>
    </w:p>
    <w:p>
      <w:pPr>
        <w:pStyle w:val="CaptionedFigure"/>
      </w:pPr>
      <w:bookmarkStart w:id="33" w:name="fig:006"/>
      <w:r>
        <w:drawing>
          <wp:inline>
            <wp:extent cx="5334000" cy="3895874"/>
            <wp:effectExtent b="0" l="0" r="0" t="0"/>
            <wp:docPr descr="Figure 6: Получение шифротекста сообщений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Получение шифротекста сообщений</w:t>
      </w:r>
    </w:p>
    <w:p>
      <w:pPr>
        <w:numPr>
          <w:ilvl w:val="0"/>
          <w:numId w:val="1002"/>
        </w:numPr>
        <w:pStyle w:val="Compact"/>
      </w:pPr>
      <w:r>
        <w:t xml:space="preserve">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p>
      <w:pPr>
        <w:pStyle w:val="FirstParagraph"/>
      </w:pPr>
      <w:r>
        <w:t xml:space="preserve">Далее преположим ситуацию, что злоумышленнику каким-то образом удалось заполучить оба сообщения в зашифрованном виде (рис. 7):</w:t>
      </w:r>
    </w:p>
    <w:p>
      <w:pPr>
        <w:pStyle w:val="CaptionedFigure"/>
      </w:pPr>
      <w:bookmarkStart w:id="35" w:name="fig:007"/>
      <w:r>
        <w:drawing>
          <wp:inline>
            <wp:extent cx="5334000" cy="1115748"/>
            <wp:effectExtent b="0" l="0" r="0" t="0"/>
            <wp:docPr descr="Figure 7: Злоумышленник получил шифротекст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Злоумышленник получил шифротексты</w:t>
      </w:r>
    </w:p>
    <w:p>
      <w:pPr>
        <w:pStyle w:val="BodyText"/>
      </w:pPr>
      <w:r>
        <w:t xml:space="preserve">Складывая по модулю шифротексты можно получить гамму (рис. 8):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CaptionedFigure"/>
      </w:pPr>
      <w:bookmarkStart w:id="37" w:name="fig:008"/>
      <w:r>
        <w:drawing>
          <wp:inline>
            <wp:extent cx="5334000" cy="1245843"/>
            <wp:effectExtent b="0" l="0" r="0" t="0"/>
            <wp:docPr descr="Figure 8: Получение гамм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Получение гаммы</w:t>
      </w:r>
    </w:p>
    <w:p>
      <w:pPr>
        <w:pStyle w:val="BodyText"/>
      </w:pPr>
      <w:r>
        <w:t xml:space="preserve">Допустим,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известен формат телеграммы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 Ему известны в телеграмме P_1 выделенны жирным части:</w:t>
      </w:r>
      <w:r>
        <w:br/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НаВаш</w:t>
      </w:r>
      <w:r>
        <w:t xml:space="preserve">исходящий</w:t>
      </w:r>
      <w:r>
        <w:rPr>
          <w:bCs/>
          <w:b/>
        </w:rPr>
        <w:t xml:space="preserve">от</w:t>
      </w:r>
      <w:r>
        <w:t xml:space="preserve">1204.</w:t>
      </w:r>
      <w:r>
        <w:br/>
      </w:r>
      <w:r>
        <w:t xml:space="preserve">Таким образом, злоумышленник получает возможность определить те</w:t>
      </w:r>
      <w:r>
        <w:t xml:space="preserve"> </w:t>
      </w:r>
      <w:r>
        <w:t xml:space="preserve">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:</w:t>
      </w:r>
      <w:r>
        <w:br/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ВСеве</w:t>
      </w:r>
      <w:r>
        <w:t xml:space="preserve">рныйфилиа</w:t>
      </w:r>
      <w:r>
        <w:rPr>
          <w:bCs/>
          <w:b/>
        </w:rPr>
        <w:t xml:space="preserve">лБ</w:t>
      </w:r>
      <w:r>
        <w:t xml:space="preserve">анка.</w:t>
      </w:r>
      <w:r>
        <w:br/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:</w:t>
      </w:r>
      <w:r>
        <w:br/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ВСеверный</w:t>
      </w:r>
      <w:r>
        <w:t xml:space="preserve">филиа</w:t>
      </w:r>
      <w:r>
        <w:rPr>
          <w:bCs/>
          <w:b/>
        </w:rPr>
        <w:t xml:space="preserve">лБ</w:t>
      </w:r>
      <w:r>
        <w:t xml:space="preserve">анка.</w:t>
      </w:r>
      <w:r>
        <w:br/>
      </w:r>
      <w:r>
        <w:t xml:space="preserve">Затем используется подстановка 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И так далее.</w:t>
      </w:r>
      <w:r>
        <w:br/>
      </w:r>
      <w:r>
        <w:t xml:space="preserve">Работа описанного выше алгоритма реализована в программе (рис. 9), (рис. 10), (рис. 11).</w:t>
      </w:r>
    </w:p>
    <w:p>
      <w:pPr>
        <w:pStyle w:val="CaptionedFigure"/>
      </w:pPr>
      <w:bookmarkStart w:id="39" w:name="fig:009"/>
      <w:r>
        <w:drawing>
          <wp:inline>
            <wp:extent cx="5334000" cy="2516553"/>
            <wp:effectExtent b="0" l="0" r="0" t="0"/>
            <wp:docPr descr="Figure 9: Взлом сообщений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Взлом сообщений</w:t>
      </w:r>
    </w:p>
    <w:p>
      <w:pPr>
        <w:pStyle w:val="CaptionedFigure"/>
      </w:pPr>
      <w:bookmarkStart w:id="41" w:name="fig:0010"/>
      <w:r>
        <w:drawing>
          <wp:inline>
            <wp:extent cx="5334000" cy="3149135"/>
            <wp:effectExtent b="0" l="0" r="0" t="0"/>
            <wp:docPr descr="Figure 10: Взлом сообщений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Взлом сообщений</w:t>
      </w:r>
    </w:p>
    <w:p>
      <w:pPr>
        <w:pStyle w:val="CaptionedFigure"/>
      </w:pPr>
      <w:bookmarkStart w:id="43" w:name="fig:0011"/>
      <w:r>
        <w:drawing>
          <wp:inline>
            <wp:extent cx="5334000" cy="3026734"/>
            <wp:effectExtent b="0" l="0" r="0" t="0"/>
            <wp:docPr descr="Figure 11: Взлом сообщен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6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Взлом сообщений</w:t>
      </w:r>
    </w:p>
    <w:bookmarkEnd w:id="44"/>
    <w:bookmarkStart w:id="4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Как, зная один из текстов (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), определить другой, не зная при</w:t>
      </w:r>
      <w:r>
        <w:t xml:space="preserve"> </w:t>
      </w:r>
      <w:r>
        <w:t xml:space="preserve">этом ключа?</w:t>
      </w:r>
      <w:r>
        <w:br/>
      </w:r>
      <w:r>
        <w:t xml:space="preserve">По формуле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</w:p>
    <w:p>
      <w:pPr>
        <w:numPr>
          <w:ilvl w:val="0"/>
          <w:numId w:val="1003"/>
        </w:numPr>
      </w:pPr>
      <w:r>
        <w:t xml:space="preserve">Что будет при повторном использовании ключа при шифровании текста?</w:t>
      </w:r>
      <w:r>
        <w:br/>
      </w:r>
      <w:r>
        <w:t xml:space="preserve">Текст расшифруется.</w:t>
      </w:r>
    </w:p>
    <w:p>
      <w:pPr>
        <w:numPr>
          <w:ilvl w:val="0"/>
          <w:numId w:val="1003"/>
        </w:numPr>
      </w:pPr>
      <w:r>
        <w:t xml:space="preserve">Как реализуется режим шифрования однократного гаммирования одним</w:t>
      </w:r>
      <w:r>
        <w:t xml:space="preserve"> </w:t>
      </w:r>
      <w:r>
        <w:t xml:space="preserve">ключом двух открытых текстов?</w:t>
      </w:r>
      <w:r>
        <w:br/>
      </w:r>
      <w:r>
        <w:t xml:space="preserve">по формулам режима однократного гаммирования: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2</m:t>
              </m:r>
            </m:sub>
          </m:sSub>
        </m:oMath>
      </m:oMathPara>
    </w:p>
    <w:p>
      <w:pPr>
        <w:numPr>
          <w:ilvl w:val="0"/>
          <w:numId w:val="1003"/>
        </w:numPr>
      </w:pPr>
      <w:r>
        <w:t xml:space="preserve">Перечислите недостатки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numPr>
          <w:ilvl w:val="0"/>
          <w:numId w:val="1004"/>
        </w:numPr>
        <w:pStyle w:val="Compact"/>
      </w:pPr>
      <w:r>
        <w:t xml:space="preserve">ключ, попав не в те руки, даст возможность злоумышленнику расшифровать оба текста;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можно расшифровать с помощью открытого текста другие известные шифротексты;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можно узнать часть текста, используя заранее известный шаблон и формат другого текста.</w:t>
      </w:r>
    </w:p>
    <w:p>
      <w:pPr>
        <w:numPr>
          <w:ilvl w:val="0"/>
          <w:numId w:val="1005"/>
        </w:numPr>
        <w:pStyle w:val="Compact"/>
      </w:pPr>
      <w:r>
        <w:t xml:space="preserve">Перечислите преимущества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numPr>
          <w:ilvl w:val="0"/>
          <w:numId w:val="1006"/>
        </w:numPr>
        <w:pStyle w:val="Compact"/>
      </w:pPr>
      <w:r>
        <w:t xml:space="preserve">скорость шифрования выше;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простой алгоритм шифрования;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шифротекст сильно меняется, если изменяется ключ или открытый текст.</w:t>
      </w:r>
    </w:p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 основе проделанной работы освоила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Астафьева Анна Андреевна НПИбд-01-18</dc:creator>
  <dc:language>ru-RU</dc:language>
  <cp:keywords/>
  <dcterms:created xsi:type="dcterms:W3CDTF">2021-12-18T14:28:40Z</dcterms:created>
  <dcterms:modified xsi:type="dcterms:W3CDTF">2021-12-18T14:28:40Z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Информационная безопасноть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