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1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Бурба</w:t>
      </w:r>
      <w:r>
        <w:t xml:space="preserve"> </w:t>
      </w:r>
      <w:r>
        <w:t xml:space="preserve">Анна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 с помощью Python.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49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1</w:t>
      </w:r>
      <w:r>
        <w:t xml:space="preserve"> </w:t>
      </w:r>
      <w:r>
        <w:t xml:space="preserve">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</w:t>
      </w:r>
      <w:r>
        <w:t xml:space="preserve"> </w:t>
      </w:r>
      <w:r>
        <w:t xml:space="preserve">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</w:t>
      </w:r>
      <w:r>
        <w:t xml:space="preserve"> </w:t>
      </w:r>
      <w:r>
        <w:t xml:space="preserve">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</w:t>
      </w:r>
      <w:r>
        <w:t xml:space="preserve"> </w:t>
      </w:r>
      <w:r>
        <w:t xml:space="preserve">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0.00029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1.0</m:t>
            </m:r>
          </m:sub>
        </m:sSub>
        <m:r>
          <m:rPr>
            <m:sty m:val="p"/>
          </m:rPr>
          <m:t>=</m:t>
        </m:r>
        <m:r>
          <m:t>5.4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2.0</m:t>
            </m:r>
          </m:sub>
        </m:sSub>
        <m:r>
          <m:rPr>
            <m:sty m:val="p"/>
          </m:rPr>
          <m:t>=</m:t>
        </m:r>
        <m:r>
          <m:t>5.1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10.1</m:t>
        </m:r>
      </m:oMath>
    </w:p>
    <w:p>
      <w:pPr>
        <w:pStyle w:val="CaptionedFigure"/>
      </w:pPr>
      <w:bookmarkStart w:id="22" w:name="fig:001"/>
      <w:r>
        <w:drawing>
          <wp:inline>
            <wp:extent cx="1665170" cy="1183907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Начальные условия</w:t>
      </w:r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3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 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</w:t>
      </w:r>
      <w:r>
        <w:t xml:space="preserve"> </w:t>
      </w:r>
      <w:r>
        <w:t xml:space="preserve">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 \tag{1} Q = q - k \frac{P}{S} = q(1 - \frac{p}{p_{cr}}),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</w:t>
      </w:r>
      <w:r>
        <w:t xml:space="preserve"> </w:t>
      </w:r>
      <w:r>
        <w:t xml:space="preserve">продукта)потребители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</w:t>
      </w:r>
      <w:r>
        <w:t xml:space="preserve"> </w:t>
      </w:r>
      <w:r>
        <w:t xml:space="preserve">образом, функция спроса в форме (1) является пороговой (то есть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 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 \tag{3} \frac{\partial p}{\partial t} = \gamma (-\frac{M \delta}{\tau \tilde{p}} + NQ(1 - \frac{p}{p_{cr}}) 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 \tag{4} -\frac{M \delta}{\tau \tilde{p}} + NQ(1 - \frac{p}{p_{cr}}) = 0 $$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 \tag{5} p = p_{cr}(1 - \frac{M \delta}{\tau \tilde{p} Nq}) 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 \tag{6} \frac{\partial M}{\partial t} = M \frac{\delta}{\tau}(\frac{p_{cr}}{\tilde{p}} - 1) - M^2 (\frac{\delta}{\tau \delta{p}})^2 \frac{p_{cr}}{Nq} 
- \kappa 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$$ 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\tag{8} a = Nq(1 - \frac{\tilde{p}}{p_{cr}}) \tilde{p} \frac{\tau}{\delta}, b = \kappa Nq \frac{(\tau \tilde{p})^2}{p_{cr} \delta^2} 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</w:t>
      </w:r>
      <w:r>
        <w:t xml:space="preserve"> </w:t>
      </w:r>
      <w:r>
        <w:t xml:space="preserve">играют роль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 \tag{9} \tilde{M}_+ = Nq \frac{\tau}{\delta}(1 - \frac{\tilde{p}}{p_{cr}}) \tilde{p}, \tilde{M}_- = \kappa \tilde{p} \frac{\tau}{\delta(p_{cr} 
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</w:t>
      </w:r>
      <w:r>
        <w:t xml:space="preserve"> </w:t>
      </w:r>
      <w:r>
        <w:t xml:space="preserve">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</w:t>
      </w:r>
      <w:r>
        <w:t xml:space="preserve"> </w:t>
      </w:r>
      <w:r>
        <w:t xml:space="preserve">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 с учётом</w:t>
      </w:r>
      <w:r>
        <w:t xml:space="preserve"> </w:t>
      </w:r>
      <w:r>
        <w:t xml:space="preserve">сказанного.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</w:t>
      </w:r>
      <w:r>
        <w:t xml:space="preserve"> </w:t>
      </w:r>
      <w:r>
        <w:t xml:space="preserve">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</w:t>
      </w:r>
      <w:r>
        <w:t xml:space="preserve"> </w:t>
      </w:r>
      <w:r>
        <w:t xml:space="preserve">конкурентная борьба ведётся только рыночными методами. То есть, конкуренты могут влиять на противника путем изменения параметров своего производства:</w:t>
      </w:r>
      <w:r>
        <w:t xml:space="preserve"> </w:t>
      </w:r>
      <w:r>
        <w:t xml:space="preserve">себестоимость, время цикла, но не могут прямо вмешиваться в ситуацию на рынке («назначать» цену или влиять на потребителей какимлибо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 \tag{10} \begin{cases} \frac{\partial M_1}{\partial t} = - \frac{M_1}{\tau_1} + N_1q(1 - \frac{p}{p_{cr}})p - \kappa_1 \\ \frac{\partial M_2}{\partial t} 
= - \frac{M_2}{\tau_2} + N_2q(1 - \frac{p}{p_{cr}})p - \kappa_2 \end{cases} 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</w:t>
      </w:r>
      <w:r>
        <w:t xml:space="preserve"> </w:t>
      </w:r>
      <w:r>
        <w:t xml:space="preserve">приобревших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 \tag{11} \begin{cases} \frac{M_1}{\tau_1 \tilde{p}_1} = - N_1q(1 - \frac{p}{p_{cr}}) \\ \frac{M_2}{\tau_2 \tilde{p}_2} = - N_2q(1 - \frac{p}{p_{cr}}) 
\end{cases}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 \tag{12} \begin{cases} \frac{\partial M_1}{\partial t} = - \frac{M_1}{\tau_1}(1 - \frac{p}{\tilde{p}_1}) - \kappa_1 \\ \frac{\partial M_2}{\partial t} 
= - \frac{M_2}{\tau_2}(1 - \frac{p}{\tilde{p}_2}) - \kappa_2 \end{cases} $$</w:t>
      </w:r>
    </w:p>
    <w:p>
      <w:pPr>
        <w:pStyle w:val="FirstParagraph"/>
      </w:pPr>
      <w:r>
        <w:t xml:space="preserve">Уравнение для цены по аналогии с (3)</w:t>
      </w:r>
    </w:p>
    <w:p>
      <w:pPr>
        <w:pStyle w:val="BodyText"/>
      </w:pPr>
      <w:r>
        <w:t xml:space="preserve">$$ \tag{13} \frac{\partial p}{\partial t} = - \gamma (\frac{M_1}{\tau_1 \tilde{p}_1} + \frac{M_2}{\tau_2 \tilde{p}_2} - Nq (1 - \frac{p}{p_{cr}}) 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 \tag{14} p = p_{cr} (1 - \frac{1}{Nq} (\frac{M_1}{\tau_1 \tilde{p}_1} + \frac{M_2}{\tau_2 \tilde{p}_2})) 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 \tag{15} \begin{cases} \frac{\partial M_1}{\partial t} = c_1 M_1 - b M_1 M_2 - a_1 M_1^2 - \kappa_1 \\ \frac{\partial M_2}{\partial t} = c_2 M_2 
- b M_1 M_2 - a_2 M_2^2 - \kappa_2 \end{cases} 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\tag{16} a_1 = \frac{p_{cr}}{\tau_1^2 \tilde{p}_1^2 Nq}, a_2 = \frac{p_{cr}}{\tau_2^2 \tilde{p}_2^2 Nq}, b = \frac{p_{cr}}{\tau_1^2 \tilde{p}_1^2 
\tau_2^2 \tilde{p}_2^2 Nq}, c_1 = \frac{p_{cr} - \tilde{p}_1}{\tau_1^2 \tilde{p}_1^2}, c_2 = \frac{p_{cr} - \tilde{p}_2}{\tau_2^2 \tilde{p}_2^2} 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 \tag{17} \begin{cases} \frac{\partial M_1}{\partial \theta} = M_1 - \frac{b}{c_1} M_1 M_2 - \frac{a_1}{c_1} M_1^2 \\ \frac{\partial M_2}{\partial \theta} 
= \frac{c_2}{c_1} M_2 -\frac{b}{c_1} M_1 M_2 - \frac{a_2}{c_1} M_2^2 \end{cases} $$</w:t>
      </w:r>
    </w:p>
    <w:bookmarkEnd w:id="24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Изучила начальные условия. Начальные значения объема оборотных средств первой и второй фирмы соответственно 5,4 и 5,1 млн единиц. Критическая стоимость</w:t>
      </w:r>
      <w:r>
        <w:t xml:space="preserve"> </w:t>
      </w:r>
      <w:r>
        <w:t xml:space="preserve">продукта 27 тыс. единиц. 30 тыс. потребителей производимого продукта. Максимальная потребность одного человека в продукте в единицу времени равна 1.</w:t>
      </w:r>
      <w:r>
        <w:t xml:space="preserve"> </w:t>
      </w:r>
      <w:r>
        <w:t xml:space="preserve">Длительность производственного цикла первой фирмы равна 8, а второй – 9. Себестоимость продукта первой фирмы составляет 13, а второй – 10,1.</w:t>
      </w:r>
    </w:p>
    <w:p>
      <w:pPr>
        <w:numPr>
          <w:ilvl w:val="0"/>
          <w:numId w:val="1002"/>
        </w:numPr>
      </w:pPr>
      <w:r>
        <w:t xml:space="preserve">Оформила начальные условия в код на Python:</w:t>
      </w:r>
    </w:p>
    <w:p>
      <w:pPr>
        <w:pStyle w:val="CaptionedFigure"/>
      </w:pPr>
      <w:bookmarkStart w:id="26" w:name="fig:002"/>
      <w:r>
        <w:drawing>
          <wp:inline>
            <wp:extent cx="2666197" cy="760395"/>
            <wp:effectExtent b="0" l="0" r="0" t="0"/>
            <wp:docPr descr="Figure 2: Выполнение работы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Выполнение работы 1</w:t>
      </w:r>
    </w:p>
    <w:p>
      <w:pPr>
        <w:pStyle w:val="CaptionedFigure"/>
      </w:pPr>
      <w:bookmarkStart w:id="28" w:name="fig:003"/>
      <w:r>
        <w:drawing>
          <wp:inline>
            <wp:extent cx="1087654" cy="2184934"/>
            <wp:effectExtent b="0" l="0" r="0" t="0"/>
            <wp:docPr descr="Figure 3: Выполнение работы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Выполнение работы 2</w:t>
      </w:r>
    </w:p>
    <w:p>
      <w:pPr>
        <w:numPr>
          <w:ilvl w:val="0"/>
          <w:numId w:val="1003"/>
        </w:numPr>
        <w:pStyle w:val="Compact"/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pStyle w:val="CaptionedFigure"/>
      </w:pPr>
      <w:bookmarkStart w:id="30" w:name="fig:004"/>
      <w:r>
        <w:drawing>
          <wp:inline>
            <wp:extent cx="2175309" cy="741145"/>
            <wp:effectExtent b="0" l="0" r="0" t="0"/>
            <wp:docPr descr="Figure 4: Выполнение работы 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Выполнение работы 3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вычисление коэффициентов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для последующего использования в уравнениях:</w:t>
      </w:r>
    </w:p>
    <w:p>
      <w:pPr>
        <w:pStyle w:val="CaptionedFigure"/>
      </w:pPr>
      <w:bookmarkStart w:id="32" w:name="fig:005"/>
      <w:r>
        <w:drawing>
          <wp:inline>
            <wp:extent cx="3012707" cy="1270534"/>
            <wp:effectExtent b="0" l="0" r="0" t="0"/>
            <wp:docPr descr="Figure 5: Выполнение работы 4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Выполнение работы 4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функцию, описывающую систему уравнений для 1-ого и 2-ого случаев и запрограммировала решение всех систем уравнений:</w:t>
      </w:r>
    </w:p>
    <w:p>
      <w:pPr>
        <w:pStyle w:val="CaptionedFigure"/>
      </w:pPr>
      <w:bookmarkStart w:id="34" w:name="fig:006"/>
      <w:r>
        <w:drawing>
          <wp:inline>
            <wp:extent cx="4822256" cy="2030930"/>
            <wp:effectExtent b="0" l="0" r="0" t="0"/>
            <wp:docPr descr="Figure 6: Выполнение работы 5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Выполнение работы 5</w:t>
      </w:r>
    </w:p>
    <w:p>
      <w:pPr>
        <w:numPr>
          <w:ilvl w:val="0"/>
          <w:numId w:val="1006"/>
        </w:numPr>
        <w:pStyle w:val="Compact"/>
      </w:pPr>
      <w:r>
        <w:t xml:space="preserve">Для 1-ого случая нашла стационарное состояние системы.</w:t>
      </w:r>
    </w:p>
    <w:p>
      <w:pPr>
        <w:pStyle w:val="FirstParagraph"/>
      </w:pPr>
      <w:r>
        <w:t xml:space="preserve">Приравняла каждое уравнение системы к 0 и получила следующие корни: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При этом стационарное состояние не может быть равно 0.</w:t>
      </w:r>
    </w:p>
    <w:p>
      <w:pPr>
        <w:pStyle w:val="BodyText"/>
      </w:pPr>
      <w:r>
        <w:t xml:space="preserve">И получила следующее решение: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  <w:pStyle w:val="Compact"/>
      </w:pPr>
      <w:r>
        <w:t xml:space="preserve">Запрограммировала подсчет стационарного состояния (на рисунке уже есть резульат):</w:t>
      </w:r>
    </w:p>
    <w:p>
      <w:pPr>
        <w:pStyle w:val="CaptionedFigure"/>
      </w:pPr>
      <w:bookmarkStart w:id="36" w:name="fig:007"/>
      <w:r>
        <w:drawing>
          <wp:inline>
            <wp:extent cx="2829827" cy="866273"/>
            <wp:effectExtent b="0" l="0" r="0" t="0"/>
            <wp:docPr descr="Figure 7: Выполнение работы 6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Выполнение работы 6</w:t>
      </w:r>
    </w:p>
    <w:p>
      <w:pPr>
        <w:numPr>
          <w:ilvl w:val="0"/>
          <w:numId w:val="1008"/>
        </w:numPr>
        <w:pStyle w:val="Compact"/>
      </w:pPr>
      <w:r>
        <w:t xml:space="preserve">Описала построение графиков и отметку стационарного состояния для 1-ого и 2-ого случаев:</w:t>
      </w:r>
    </w:p>
    <w:p>
      <w:pPr>
        <w:pStyle w:val="CaptionedFigure"/>
      </w:pPr>
      <w:bookmarkStart w:id="38" w:name="fig:008"/>
      <w:r>
        <w:drawing>
          <wp:inline>
            <wp:extent cx="3850105" cy="3311090"/>
            <wp:effectExtent b="0" l="0" r="0" t="0"/>
            <wp:docPr descr="Figure 8: Выполнение работы 7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Выполнение работы 7</w:t>
      </w:r>
    </w:p>
    <w:p>
      <w:pPr>
        <w:pStyle w:val="CaptionedFigure"/>
      </w:pPr>
      <w:bookmarkStart w:id="40" w:name="fig:009"/>
      <w:r>
        <w:drawing>
          <wp:inline>
            <wp:extent cx="3898231" cy="3243713"/>
            <wp:effectExtent b="0" l="0" r="0" t="0"/>
            <wp:docPr descr="Figure 9: Выполнение работы 8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Выполнение работы 8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конкуренции двух фирм с помощью Python.</w:t>
      </w:r>
    </w:p>
    <w:p>
      <w:pPr>
        <w:pStyle w:val="BodyText"/>
      </w:pPr>
      <w:r>
        <w:t xml:space="preserve">Нашла стационарное состояние системы для 1-ого случая.</w:t>
      </w:r>
    </w:p>
    <w:p>
      <w:pPr>
        <w:pStyle w:val="BodyText"/>
      </w:pPr>
      <w:r>
        <w:t xml:space="preserve">В двух случаях вторая фирма будет иметь по итогу больше оборотных средств, чем первая.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Бурба Анна Владимировна, НПИбд-02-18</dc:creator>
  <dc:language>ru-RU</dc:language>
  <cp:keywords/>
  <dcterms:created xsi:type="dcterms:W3CDTF">2021-04-03T14:38:32Z</dcterms:created>
  <dcterms:modified xsi:type="dcterms:W3CDTF">2021-04-03T14:38:32Z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