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D436" w14:textId="77777777" w:rsidR="00B64D32" w:rsidRDefault="00B64D32">
      <w:pPr>
        <w:spacing w:after="1200"/>
      </w:pPr>
    </w:p>
    <w:p w14:paraId="63EDE066" w14:textId="77777777" w:rsidR="00B64D32" w:rsidRDefault="00000000">
      <w:pPr>
        <w:spacing w:after="40"/>
        <w:jc w:val="center"/>
      </w:pPr>
      <w:r>
        <w:rPr>
          <w:b/>
          <w:color w:val="1F3B5C"/>
          <w:sz w:val="42"/>
        </w:rPr>
        <w:t>Last Interglacial Sea-Surface Temperature</w:t>
      </w:r>
    </w:p>
    <w:p w14:paraId="37C69F84" w14:textId="77777777" w:rsidR="00B64D32" w:rsidRDefault="00000000">
      <w:pPr>
        <w:spacing w:after="200"/>
        <w:jc w:val="center"/>
      </w:pPr>
      <w:r>
        <w:rPr>
          <w:b/>
          <w:color w:val="1F3B5C"/>
          <w:sz w:val="32"/>
        </w:rPr>
        <w:t>Independent Validation Data — README</w:t>
      </w:r>
    </w:p>
    <w:p w14:paraId="59E26B76" w14:textId="77777777" w:rsidR="00B64D32" w:rsidRDefault="00000000">
      <w:pPr>
        <w:spacing w:after="40"/>
        <w:jc w:val="center"/>
      </w:pPr>
      <w:r>
        <w:rPr>
          <w:sz w:val="22"/>
        </w:rPr>
        <w:t>Anna Chen · HISEAS · Lamont-Doherty Earth Observatory, Columbia University</w:t>
      </w:r>
    </w:p>
    <w:p w14:paraId="5E4165E8" w14:textId="66E8804A" w:rsidR="00B64D32" w:rsidRDefault="00000000">
      <w:pPr>
        <w:spacing w:after="40"/>
        <w:jc w:val="center"/>
      </w:pPr>
      <w:r>
        <w:rPr>
          <w:i/>
          <w:color w:val="555555"/>
          <w:sz w:val="20"/>
        </w:rPr>
        <w:t>Mentors:</w:t>
      </w:r>
      <w:r w:rsidR="00A41BB2" w:rsidRPr="00A41BB2">
        <w:rPr>
          <w:i/>
          <w:color w:val="555555"/>
          <w:sz w:val="20"/>
        </w:rPr>
        <w:t xml:space="preserve"> </w:t>
      </w:r>
      <w:r w:rsidR="00A41BB2">
        <w:rPr>
          <w:i/>
          <w:color w:val="555555"/>
          <w:sz w:val="20"/>
        </w:rPr>
        <w:t>Jerry McManus (paleoceanography and data)</w:t>
      </w:r>
      <w:r w:rsidR="00A41BB2">
        <w:rPr>
          <w:i/>
          <w:color w:val="555555"/>
          <w:sz w:val="20"/>
        </w:rPr>
        <w:t xml:space="preserve"> &amp; Alexey</w:t>
      </w:r>
      <w:r>
        <w:rPr>
          <w:i/>
          <w:color w:val="555555"/>
          <w:sz w:val="20"/>
        </w:rPr>
        <w:t xml:space="preserve"> Kaplan (method and statistics)</w:t>
      </w:r>
    </w:p>
    <w:p w14:paraId="0DEF5F88" w14:textId="77777777" w:rsidR="00B64D32" w:rsidRDefault="00000000">
      <w:pPr>
        <w:spacing w:after="280"/>
        <w:jc w:val="center"/>
      </w:pPr>
      <w:r>
        <w:rPr>
          <w:color w:val="555555"/>
          <w:sz w:val="20"/>
        </w:rPr>
        <w:t>Compiled 21 July 2026</w:t>
      </w:r>
    </w:p>
    <w:p w14:paraId="3330AD9D" w14:textId="77777777" w:rsidR="00B64D32" w:rsidRDefault="00000000">
      <w:pPr>
        <w:pStyle w:val="Heading1"/>
        <w:spacing w:before="320" w:after="120"/>
      </w:pPr>
      <w:r>
        <w:rPr>
          <w:rFonts w:ascii="Calibri" w:hAnsi="Calibri"/>
          <w:color w:val="1F3B5C"/>
          <w:sz w:val="30"/>
        </w:rPr>
        <w:t>1. Why this dataset exists</w:t>
      </w:r>
    </w:p>
    <w:p w14:paraId="6D812544" w14:textId="77777777" w:rsidR="00B64D32" w:rsidRDefault="00000000">
      <w:r>
        <w:t>This project reconstructs global full-field sea-surface temperature (SST) for the Last Interglacial (LIG), 130–115 ka at 0.1 ka steps, by Reduced Space Optimal Interpolation (RSOI): modern HadISST is decomposed into EOFs, the leading 20 modes define a reduced space, and the sparse LIG proxy SSTs of Hoffman et al. (2017) are projected into that space and expanded back to a full field.</w:t>
      </w:r>
    </w:p>
    <w:p w14:paraId="0E7F9B9D" w14:textId="77777777" w:rsidR="00B64D32" w:rsidRDefault="00000000">
      <w:r>
        <w:rPr>
          <w:b/>
        </w:rPr>
        <w:t>Because the Hoffman et al. (2017) compilation is the input to that reconstruction, it cannot also be used to test it.</w:t>
      </w:r>
      <w:r>
        <w:t xml:space="preserve"> Any skill measured against Hoffman data would partly be the reconstruction reproducing its own input. The files described here are therefore a compilation of </w:t>
      </w:r>
      <w:r>
        <w:rPr>
          <w:i/>
        </w:rPr>
        <w:t>independent</w:t>
      </w:r>
      <w:r>
        <w:t xml:space="preserve"> ocean-core SST records — records that are not in Hoffman — assembled so that bias, RMSE/uRMSE and correlation can be computed against data the reconstruction has never seen.</w:t>
      </w:r>
    </w:p>
    <w:p w14:paraId="50819DE4" w14:textId="77777777" w:rsidR="00B64D32" w:rsidRDefault="00000000">
      <w:r>
        <w:t xml:space="preserve">A second purpose: Hoffman stops at 130 ka. This compilation extends to </w:t>
      </w:r>
      <w:r>
        <w:rPr>
          <w:b/>
        </w:rPr>
        <w:t>140 ka</w:t>
      </w:r>
      <w:r>
        <w:t>, covering Termination II (the penultimate deglaciation). 57 of the 66 records in the main sheet carry data beyond 130 ka, so they also constrain the interval over which the reconstruction is currently unconstrained.</w:t>
      </w:r>
    </w:p>
    <w:p w14:paraId="17931516" w14:textId="77777777" w:rsidR="00B64D32" w:rsidRDefault="00000000">
      <w:pPr>
        <w:pStyle w:val="Heading1"/>
        <w:spacing w:before="320" w:after="120"/>
      </w:pPr>
      <w:r>
        <w:rPr>
          <w:rFonts w:ascii="Calibri" w:hAnsi="Calibri"/>
          <w:color w:val="1F3B5C"/>
          <w:sz w:val="30"/>
        </w:rPr>
        <w:t>2. What each file contains</w:t>
      </w:r>
    </w:p>
    <w:p w14:paraId="009CBDFE" w14:textId="77777777" w:rsidR="00B64D32" w:rsidRDefault="00000000">
      <w:pPr>
        <w:spacing w:after="20"/>
      </w:pPr>
      <w:r>
        <w:rPr>
          <w:b/>
        </w:rPr>
        <w:t>SST_Data_Mining_2026-07-21.xlsx</w:t>
      </w:r>
    </w:p>
    <w:p w14:paraId="18317A50" w14:textId="77777777" w:rsidR="00B64D32" w:rsidRDefault="00000000">
      <w:pPr>
        <w:spacing w:after="160"/>
        <w:ind w:left="360"/>
      </w:pPr>
      <w:r>
        <w:t>The primary deliverable. 66 tabs, one per core (or per core-and-proxy), holding newly mined SST time series that are absent from Hoffman et al. (2017) and fall within 115–140 ka. This is the independent validation set.</w:t>
      </w:r>
    </w:p>
    <w:p w14:paraId="3D2E1C04" w14:textId="77777777" w:rsidR="00B64D32" w:rsidRDefault="00000000">
      <w:pPr>
        <w:spacing w:after="20"/>
      </w:pPr>
      <w:r>
        <w:rPr>
          <w:b/>
        </w:rPr>
        <w:t>same_core_different_chronology.xlsx</w:t>
      </w:r>
    </w:p>
    <w:p w14:paraId="2CF59956" w14:textId="77777777" w:rsidR="00B64D32" w:rsidRDefault="00000000">
      <w:pPr>
        <w:spacing w:after="160"/>
        <w:ind w:left="360"/>
      </w:pPr>
      <w:r>
        <w:t>57 tabs for cores that duplicate a site already held in Hoffman or in the main sheet, but under a different age model or a different proxy. Kept separately because they are not independent — they are useful for testing how much of any reconstruction–data mismatch is chronological rather than thermal.</w:t>
      </w:r>
    </w:p>
    <w:p w14:paraId="65084C3C" w14:textId="77777777" w:rsidR="00B64D32" w:rsidRDefault="00000000">
      <w:pPr>
        <w:spacing w:after="20"/>
      </w:pPr>
      <w:r>
        <w:rPr>
          <w:b/>
        </w:rPr>
        <w:t>SST_Depth_Only_For_Jerry.xlsx</w:t>
      </w:r>
    </w:p>
    <w:p w14:paraId="0A618B64" w14:textId="320B91CC" w:rsidR="00B64D32" w:rsidRDefault="00000000">
      <w:pPr>
        <w:spacing w:after="160"/>
        <w:ind w:left="360"/>
      </w:pPr>
      <w:r>
        <w:t>38 tabs of SST measured against depth with no usable age model, so they cannot enter a time-referenced comparison. Retained for Jerry: several are densely sampled and could be brought into the window if an age model were built.</w:t>
      </w:r>
    </w:p>
    <w:p w14:paraId="5B2D3CE4" w14:textId="77777777" w:rsidR="00B64D32" w:rsidRDefault="00000000">
      <w:pPr>
        <w:spacing w:after="20"/>
      </w:pPr>
      <w:r>
        <w:rPr>
          <w:b/>
        </w:rPr>
        <w:t>SST_Hoffman_Harmonized_AC_ES_no_V28_238.xlsx</w:t>
      </w:r>
    </w:p>
    <w:p w14:paraId="7185CE31" w14:textId="23D0BA94" w:rsidR="00B64D32" w:rsidRDefault="00000000">
      <w:pPr>
        <w:spacing w:after="160"/>
        <w:ind w:left="360"/>
      </w:pPr>
      <w:r>
        <w:lastRenderedPageBreak/>
        <w:t xml:space="preserve">The Hoffman et al. (2017) compilation, </w:t>
      </w:r>
      <w:r w:rsidR="009C2D34">
        <w:t>reorganized and harmonized across tabs by Anna during Spring 2025. Interpolated</w:t>
      </w:r>
      <w:r>
        <w:t xml:space="preserve"> onto the reconstruction's own 0.1 ka grid (115–130 ka, 151 steps per core), with core V28-238 removed</w:t>
      </w:r>
      <w:r w:rsidR="009C2D34">
        <w:t xml:space="preserve"> due to temporal inconsistency</w:t>
      </w:r>
      <w:r>
        <w:t>. This is the RSOI</w:t>
      </w:r>
      <w:r w:rsidR="009C2D34">
        <w:t xml:space="preserve">-method </w:t>
      </w:r>
      <w:r>
        <w:t>input, included here as the reference against which the independent data are contrasted.</w:t>
      </w:r>
    </w:p>
    <w:p w14:paraId="35442610" w14:textId="77777777" w:rsidR="00B64D32" w:rsidRDefault="00000000">
      <w:pPr>
        <w:spacing w:after="20"/>
      </w:pPr>
      <w:r>
        <w:rPr>
          <w:b/>
        </w:rPr>
        <w:t>Hoffman_Metadata.csv</w:t>
      </w:r>
    </w:p>
    <w:p w14:paraId="1274FBD2" w14:textId="77777777" w:rsidR="00B64D32" w:rsidRDefault="00000000">
      <w:pPr>
        <w:spacing w:after="160"/>
        <w:ind w:left="360"/>
      </w:pPr>
      <w:r>
        <w:t>Coordinates for the 104 Hoffman proxy-core entries (87 unique physical cores; several cores contribute more than one proxy). This is the lookup used to decide whether a newly found core is genuinely new.</w:t>
      </w:r>
    </w:p>
    <w:p w14:paraId="2CED701F" w14:textId="77777777" w:rsidR="00B64D32" w:rsidRDefault="00000000">
      <w:pPr>
        <w:spacing w:after="20"/>
      </w:pPr>
      <w:r>
        <w:rPr>
          <w:b/>
        </w:rPr>
        <w:t>mined_txt/  (folder)</w:t>
      </w:r>
    </w:p>
    <w:p w14:paraId="2BF31E05" w14:textId="77777777" w:rsidR="00B64D32" w:rsidRDefault="00000000">
      <w:pPr>
        <w:spacing w:after="160"/>
        <w:ind w:left="360"/>
      </w:pPr>
      <w:r>
        <w:t>The 191 raw NOAA/NCEI text files downloaded during the search, plus the sub-folder Ruddiman_Fossil_Plankton/ (32 files). Every value in the spreadsheets is traceable to a file here, and every tab records its source in the Data Link and Method columns.</w:t>
      </w:r>
    </w:p>
    <w:p w14:paraId="28D3679B" w14:textId="77777777" w:rsidR="00B64D32" w:rsidRDefault="00000000">
      <w:pPr>
        <w:pStyle w:val="Heading1"/>
        <w:spacing w:before="320" w:after="120"/>
      </w:pPr>
      <w:r>
        <w:rPr>
          <w:rFonts w:ascii="Calibri" w:hAnsi="Calibri"/>
          <w:color w:val="1F3B5C"/>
          <w:sz w:val="30"/>
        </w:rPr>
        <w:t>3. Geographic overview</w:t>
      </w:r>
    </w:p>
    <w:p w14:paraId="513A6B37" w14:textId="00A9B121" w:rsidR="00B64D32" w:rsidRDefault="00000000">
      <w:r>
        <w:t>Cores are assigned to a basin geometrically from longitude and latitude. “Southern Ocean” is taken as south of roughly 40°S and “Arctic” as north of 66.5°N. The exact boundaries matter little for these totals — the table is meant to show where the data are, and where they are not.</w:t>
      </w:r>
    </w:p>
    <w:tbl>
      <w:tblPr>
        <w:tblStyle w:val="TableGrid"/>
        <w:tblW w:w="0" w:type="auto"/>
        <w:jc w:val="center"/>
        <w:tblLayout w:type="fixed"/>
        <w:tblLook w:val="04A0" w:firstRow="1" w:lastRow="0" w:firstColumn="1" w:lastColumn="0" w:noHBand="0" w:noVBand="1"/>
      </w:tblPr>
      <w:tblGrid>
        <w:gridCol w:w="1368"/>
        <w:gridCol w:w="893"/>
        <w:gridCol w:w="1123"/>
        <w:gridCol w:w="893"/>
        <w:gridCol w:w="1123"/>
        <w:gridCol w:w="893"/>
        <w:gridCol w:w="1123"/>
        <w:gridCol w:w="893"/>
        <w:gridCol w:w="1123"/>
      </w:tblGrid>
      <w:tr w:rsidR="00B64D32" w14:paraId="218807CA" w14:textId="77777777">
        <w:trPr>
          <w:jc w:val="center"/>
        </w:trPr>
        <w:tc>
          <w:tcPr>
            <w:tcW w:w="1368" w:type="dxa"/>
            <w:shd w:val="clear" w:color="auto" w:fill="1F3B5C"/>
          </w:tcPr>
          <w:p w14:paraId="493008E1" w14:textId="77777777" w:rsidR="00B64D32" w:rsidRDefault="00000000">
            <w:pPr>
              <w:spacing w:after="40"/>
            </w:pPr>
            <w:r>
              <w:rPr>
                <w:b/>
                <w:color w:val="FFFFFF"/>
                <w:sz w:val="18"/>
              </w:rPr>
              <w:t>Basin</w:t>
            </w:r>
          </w:p>
        </w:tc>
        <w:tc>
          <w:tcPr>
            <w:tcW w:w="893" w:type="dxa"/>
            <w:shd w:val="clear" w:color="auto" w:fill="1F3B5C"/>
          </w:tcPr>
          <w:p w14:paraId="52D168CB" w14:textId="77777777" w:rsidR="00B64D32" w:rsidRDefault="00000000">
            <w:pPr>
              <w:spacing w:after="40"/>
              <w:jc w:val="center"/>
            </w:pPr>
            <w:r>
              <w:rPr>
                <w:b/>
                <w:color w:val="FFFFFF"/>
                <w:sz w:val="18"/>
              </w:rPr>
              <w:t>Mined</w:t>
            </w:r>
            <w:r>
              <w:rPr>
                <w:b/>
                <w:color w:val="FFFFFF"/>
                <w:sz w:val="18"/>
              </w:rPr>
              <w:br/>
              <w:t>cores</w:t>
            </w:r>
          </w:p>
        </w:tc>
        <w:tc>
          <w:tcPr>
            <w:tcW w:w="1123" w:type="dxa"/>
            <w:shd w:val="clear" w:color="auto" w:fill="1F3B5C"/>
          </w:tcPr>
          <w:p w14:paraId="46AE1168" w14:textId="77777777" w:rsidR="00B64D32" w:rsidRDefault="00000000">
            <w:pPr>
              <w:spacing w:after="40"/>
              <w:jc w:val="center"/>
            </w:pPr>
            <w:r>
              <w:rPr>
                <w:b/>
                <w:color w:val="FFFFFF"/>
                <w:sz w:val="18"/>
              </w:rPr>
              <w:t>Mined</w:t>
            </w:r>
            <w:r>
              <w:rPr>
                <w:b/>
                <w:color w:val="FFFFFF"/>
                <w:sz w:val="18"/>
              </w:rPr>
              <w:br/>
              <w:t>mean pts</w:t>
            </w:r>
          </w:p>
        </w:tc>
        <w:tc>
          <w:tcPr>
            <w:tcW w:w="893" w:type="dxa"/>
            <w:shd w:val="clear" w:color="auto" w:fill="1F3B5C"/>
          </w:tcPr>
          <w:p w14:paraId="1EDE9E92" w14:textId="77777777" w:rsidR="00B64D32" w:rsidRDefault="00000000">
            <w:pPr>
              <w:spacing w:after="40"/>
              <w:jc w:val="center"/>
            </w:pPr>
            <w:r>
              <w:rPr>
                <w:b/>
                <w:color w:val="FFFFFF"/>
                <w:sz w:val="18"/>
              </w:rPr>
              <w:t>Chrono</w:t>
            </w:r>
            <w:r>
              <w:rPr>
                <w:b/>
                <w:color w:val="FFFFFF"/>
                <w:sz w:val="18"/>
              </w:rPr>
              <w:br/>
              <w:t>cores</w:t>
            </w:r>
          </w:p>
        </w:tc>
        <w:tc>
          <w:tcPr>
            <w:tcW w:w="1123" w:type="dxa"/>
            <w:shd w:val="clear" w:color="auto" w:fill="1F3B5C"/>
          </w:tcPr>
          <w:p w14:paraId="5D760E12" w14:textId="77777777" w:rsidR="00B64D32" w:rsidRDefault="00000000">
            <w:pPr>
              <w:spacing w:after="40"/>
              <w:jc w:val="center"/>
            </w:pPr>
            <w:r>
              <w:rPr>
                <w:b/>
                <w:color w:val="FFFFFF"/>
                <w:sz w:val="18"/>
              </w:rPr>
              <w:t>Chrono</w:t>
            </w:r>
            <w:r>
              <w:rPr>
                <w:b/>
                <w:color w:val="FFFFFF"/>
                <w:sz w:val="18"/>
              </w:rPr>
              <w:br/>
              <w:t>mean pts</w:t>
            </w:r>
          </w:p>
        </w:tc>
        <w:tc>
          <w:tcPr>
            <w:tcW w:w="893" w:type="dxa"/>
            <w:shd w:val="clear" w:color="auto" w:fill="1F3B5C"/>
          </w:tcPr>
          <w:p w14:paraId="1506A9E0" w14:textId="77777777" w:rsidR="00B64D32" w:rsidRDefault="00000000">
            <w:pPr>
              <w:spacing w:after="40"/>
              <w:jc w:val="center"/>
            </w:pPr>
            <w:r>
              <w:rPr>
                <w:b/>
                <w:color w:val="FFFFFF"/>
                <w:sz w:val="18"/>
              </w:rPr>
              <w:t>Jerry</w:t>
            </w:r>
            <w:r>
              <w:rPr>
                <w:b/>
                <w:color w:val="FFFFFF"/>
                <w:sz w:val="18"/>
              </w:rPr>
              <w:br/>
              <w:t>cores</w:t>
            </w:r>
          </w:p>
        </w:tc>
        <w:tc>
          <w:tcPr>
            <w:tcW w:w="1123" w:type="dxa"/>
            <w:shd w:val="clear" w:color="auto" w:fill="1F3B5C"/>
          </w:tcPr>
          <w:p w14:paraId="3BAFA7FA" w14:textId="77777777" w:rsidR="00B64D32" w:rsidRDefault="00000000">
            <w:pPr>
              <w:spacing w:after="40"/>
              <w:jc w:val="center"/>
            </w:pPr>
            <w:r>
              <w:rPr>
                <w:b/>
                <w:color w:val="FFFFFF"/>
                <w:sz w:val="18"/>
              </w:rPr>
              <w:t>Jerry</w:t>
            </w:r>
            <w:r>
              <w:rPr>
                <w:b/>
                <w:color w:val="FFFFFF"/>
                <w:sz w:val="18"/>
              </w:rPr>
              <w:br/>
              <w:t>mean pts</w:t>
            </w:r>
          </w:p>
        </w:tc>
        <w:tc>
          <w:tcPr>
            <w:tcW w:w="893" w:type="dxa"/>
            <w:shd w:val="clear" w:color="auto" w:fill="1F3B5C"/>
          </w:tcPr>
          <w:p w14:paraId="5CCC0519" w14:textId="77777777" w:rsidR="00B64D32" w:rsidRDefault="00000000">
            <w:pPr>
              <w:spacing w:after="40"/>
              <w:jc w:val="center"/>
            </w:pPr>
            <w:r>
              <w:rPr>
                <w:b/>
                <w:color w:val="FFFFFF"/>
                <w:sz w:val="18"/>
              </w:rPr>
              <w:t>Hoffman</w:t>
            </w:r>
            <w:r>
              <w:rPr>
                <w:b/>
                <w:color w:val="FFFFFF"/>
                <w:sz w:val="18"/>
              </w:rPr>
              <w:br/>
              <w:t>cores</w:t>
            </w:r>
          </w:p>
        </w:tc>
        <w:tc>
          <w:tcPr>
            <w:tcW w:w="1123" w:type="dxa"/>
            <w:shd w:val="clear" w:color="auto" w:fill="1F3B5C"/>
          </w:tcPr>
          <w:p w14:paraId="19EC83C6" w14:textId="77777777" w:rsidR="00B64D32" w:rsidRDefault="00000000">
            <w:pPr>
              <w:spacing w:after="40"/>
              <w:jc w:val="center"/>
            </w:pPr>
            <w:r>
              <w:rPr>
                <w:b/>
                <w:color w:val="FFFFFF"/>
                <w:sz w:val="18"/>
              </w:rPr>
              <w:t>Hoffman</w:t>
            </w:r>
            <w:r>
              <w:rPr>
                <w:b/>
                <w:color w:val="FFFFFF"/>
                <w:sz w:val="18"/>
              </w:rPr>
              <w:br/>
              <w:t>mean pts</w:t>
            </w:r>
          </w:p>
        </w:tc>
      </w:tr>
      <w:tr w:rsidR="00B64D32" w14:paraId="2A482115" w14:textId="77777777">
        <w:trPr>
          <w:jc w:val="center"/>
        </w:trPr>
        <w:tc>
          <w:tcPr>
            <w:tcW w:w="1368" w:type="dxa"/>
          </w:tcPr>
          <w:p w14:paraId="7A9FA772" w14:textId="77777777" w:rsidR="00B64D32" w:rsidRDefault="00000000">
            <w:pPr>
              <w:spacing w:after="40" w:line="240" w:lineRule="auto"/>
            </w:pPr>
            <w:r>
              <w:rPr>
                <w:sz w:val="18"/>
              </w:rPr>
              <w:t>Arctic</w:t>
            </w:r>
          </w:p>
        </w:tc>
        <w:tc>
          <w:tcPr>
            <w:tcW w:w="893" w:type="dxa"/>
          </w:tcPr>
          <w:p w14:paraId="59E7C32A" w14:textId="77777777" w:rsidR="00B64D32" w:rsidRDefault="00000000">
            <w:pPr>
              <w:spacing w:after="40" w:line="240" w:lineRule="auto"/>
              <w:jc w:val="center"/>
            </w:pPr>
            <w:r>
              <w:rPr>
                <w:sz w:val="18"/>
              </w:rPr>
              <w:t>0</w:t>
            </w:r>
          </w:p>
        </w:tc>
        <w:tc>
          <w:tcPr>
            <w:tcW w:w="1123" w:type="dxa"/>
          </w:tcPr>
          <w:p w14:paraId="2B36FAC0" w14:textId="77777777" w:rsidR="00B64D32" w:rsidRDefault="00000000">
            <w:pPr>
              <w:spacing w:after="40" w:line="240" w:lineRule="auto"/>
              <w:jc w:val="center"/>
            </w:pPr>
            <w:r>
              <w:rPr>
                <w:sz w:val="18"/>
              </w:rPr>
              <w:t>—</w:t>
            </w:r>
          </w:p>
        </w:tc>
        <w:tc>
          <w:tcPr>
            <w:tcW w:w="893" w:type="dxa"/>
          </w:tcPr>
          <w:p w14:paraId="773E5F14" w14:textId="77777777" w:rsidR="00B64D32" w:rsidRDefault="00000000">
            <w:pPr>
              <w:spacing w:after="40" w:line="240" w:lineRule="auto"/>
              <w:jc w:val="center"/>
            </w:pPr>
            <w:r>
              <w:rPr>
                <w:sz w:val="18"/>
              </w:rPr>
              <w:t>0</w:t>
            </w:r>
          </w:p>
        </w:tc>
        <w:tc>
          <w:tcPr>
            <w:tcW w:w="1123" w:type="dxa"/>
          </w:tcPr>
          <w:p w14:paraId="2ED27F79" w14:textId="77777777" w:rsidR="00B64D32" w:rsidRDefault="00000000">
            <w:pPr>
              <w:spacing w:after="40" w:line="240" w:lineRule="auto"/>
              <w:jc w:val="center"/>
            </w:pPr>
            <w:r>
              <w:rPr>
                <w:sz w:val="18"/>
              </w:rPr>
              <w:t>—</w:t>
            </w:r>
          </w:p>
        </w:tc>
        <w:tc>
          <w:tcPr>
            <w:tcW w:w="893" w:type="dxa"/>
          </w:tcPr>
          <w:p w14:paraId="5C710C83" w14:textId="77777777" w:rsidR="00B64D32" w:rsidRDefault="00000000">
            <w:pPr>
              <w:spacing w:after="40" w:line="240" w:lineRule="auto"/>
              <w:jc w:val="center"/>
            </w:pPr>
            <w:r>
              <w:rPr>
                <w:sz w:val="18"/>
              </w:rPr>
              <w:t>0</w:t>
            </w:r>
          </w:p>
        </w:tc>
        <w:tc>
          <w:tcPr>
            <w:tcW w:w="1123" w:type="dxa"/>
          </w:tcPr>
          <w:p w14:paraId="77F9E955" w14:textId="77777777" w:rsidR="00B64D32" w:rsidRDefault="00000000">
            <w:pPr>
              <w:spacing w:after="40" w:line="240" w:lineRule="auto"/>
              <w:jc w:val="center"/>
            </w:pPr>
            <w:r>
              <w:rPr>
                <w:sz w:val="18"/>
              </w:rPr>
              <w:t>—</w:t>
            </w:r>
          </w:p>
        </w:tc>
        <w:tc>
          <w:tcPr>
            <w:tcW w:w="893" w:type="dxa"/>
          </w:tcPr>
          <w:p w14:paraId="497969B9" w14:textId="77777777" w:rsidR="00B64D32" w:rsidRDefault="00000000">
            <w:pPr>
              <w:spacing w:after="40" w:line="240" w:lineRule="auto"/>
              <w:jc w:val="center"/>
            </w:pPr>
            <w:r>
              <w:rPr>
                <w:sz w:val="18"/>
              </w:rPr>
              <w:t>2</w:t>
            </w:r>
          </w:p>
        </w:tc>
        <w:tc>
          <w:tcPr>
            <w:tcW w:w="1123" w:type="dxa"/>
          </w:tcPr>
          <w:p w14:paraId="51D9C42F" w14:textId="77777777" w:rsidR="00B64D32" w:rsidRDefault="00000000">
            <w:pPr>
              <w:spacing w:after="40" w:line="240" w:lineRule="auto"/>
              <w:jc w:val="center"/>
            </w:pPr>
            <w:r>
              <w:rPr>
                <w:sz w:val="18"/>
              </w:rPr>
              <w:t>112.5</w:t>
            </w:r>
          </w:p>
        </w:tc>
      </w:tr>
      <w:tr w:rsidR="00B64D32" w14:paraId="6C4C3DB8" w14:textId="77777777">
        <w:trPr>
          <w:jc w:val="center"/>
        </w:trPr>
        <w:tc>
          <w:tcPr>
            <w:tcW w:w="1368" w:type="dxa"/>
            <w:shd w:val="clear" w:color="auto" w:fill="F2F2F2"/>
          </w:tcPr>
          <w:p w14:paraId="2C29EC96" w14:textId="77777777" w:rsidR="00B64D32" w:rsidRDefault="00000000">
            <w:pPr>
              <w:spacing w:after="40" w:line="240" w:lineRule="auto"/>
            </w:pPr>
            <w:r>
              <w:rPr>
                <w:sz w:val="18"/>
              </w:rPr>
              <w:t>Atlantic</w:t>
            </w:r>
          </w:p>
        </w:tc>
        <w:tc>
          <w:tcPr>
            <w:tcW w:w="893" w:type="dxa"/>
            <w:shd w:val="clear" w:color="auto" w:fill="F2F2F2"/>
          </w:tcPr>
          <w:p w14:paraId="5F65F4AE" w14:textId="77777777" w:rsidR="00B64D32" w:rsidRDefault="00000000">
            <w:pPr>
              <w:spacing w:after="40" w:line="240" w:lineRule="auto"/>
              <w:jc w:val="center"/>
            </w:pPr>
            <w:r>
              <w:rPr>
                <w:sz w:val="18"/>
              </w:rPr>
              <w:t>18</w:t>
            </w:r>
          </w:p>
        </w:tc>
        <w:tc>
          <w:tcPr>
            <w:tcW w:w="1123" w:type="dxa"/>
            <w:shd w:val="clear" w:color="auto" w:fill="F2F2F2"/>
          </w:tcPr>
          <w:p w14:paraId="6568AE45" w14:textId="77777777" w:rsidR="00B64D32" w:rsidRDefault="00000000">
            <w:pPr>
              <w:spacing w:after="40" w:line="240" w:lineRule="auto"/>
              <w:jc w:val="center"/>
            </w:pPr>
            <w:r>
              <w:rPr>
                <w:sz w:val="18"/>
              </w:rPr>
              <w:t>20.7</w:t>
            </w:r>
          </w:p>
        </w:tc>
        <w:tc>
          <w:tcPr>
            <w:tcW w:w="893" w:type="dxa"/>
            <w:shd w:val="clear" w:color="auto" w:fill="F2F2F2"/>
          </w:tcPr>
          <w:p w14:paraId="7BF27EF4" w14:textId="77777777" w:rsidR="00B64D32" w:rsidRDefault="00000000">
            <w:pPr>
              <w:spacing w:after="40" w:line="240" w:lineRule="auto"/>
              <w:jc w:val="center"/>
            </w:pPr>
            <w:r>
              <w:rPr>
                <w:sz w:val="18"/>
              </w:rPr>
              <w:t>21</w:t>
            </w:r>
          </w:p>
        </w:tc>
        <w:tc>
          <w:tcPr>
            <w:tcW w:w="1123" w:type="dxa"/>
            <w:shd w:val="clear" w:color="auto" w:fill="F2F2F2"/>
          </w:tcPr>
          <w:p w14:paraId="20FD5A71" w14:textId="77777777" w:rsidR="00B64D32" w:rsidRDefault="00000000">
            <w:pPr>
              <w:spacing w:after="40" w:line="240" w:lineRule="auto"/>
              <w:jc w:val="center"/>
            </w:pPr>
            <w:r>
              <w:rPr>
                <w:sz w:val="18"/>
              </w:rPr>
              <w:t>28.6</w:t>
            </w:r>
          </w:p>
        </w:tc>
        <w:tc>
          <w:tcPr>
            <w:tcW w:w="893" w:type="dxa"/>
            <w:shd w:val="clear" w:color="auto" w:fill="F2F2F2"/>
          </w:tcPr>
          <w:p w14:paraId="32836802" w14:textId="77777777" w:rsidR="00B64D32" w:rsidRDefault="00000000">
            <w:pPr>
              <w:spacing w:after="40" w:line="240" w:lineRule="auto"/>
              <w:jc w:val="center"/>
            </w:pPr>
            <w:r>
              <w:rPr>
                <w:sz w:val="18"/>
              </w:rPr>
              <w:t>31</w:t>
            </w:r>
          </w:p>
        </w:tc>
        <w:tc>
          <w:tcPr>
            <w:tcW w:w="1123" w:type="dxa"/>
            <w:shd w:val="clear" w:color="auto" w:fill="F2F2F2"/>
          </w:tcPr>
          <w:p w14:paraId="7639EF16" w14:textId="77777777" w:rsidR="00B64D32" w:rsidRDefault="00000000">
            <w:pPr>
              <w:spacing w:after="40" w:line="240" w:lineRule="auto"/>
              <w:jc w:val="center"/>
            </w:pPr>
            <w:r>
              <w:rPr>
                <w:sz w:val="18"/>
              </w:rPr>
              <w:t>112.9</w:t>
            </w:r>
          </w:p>
        </w:tc>
        <w:tc>
          <w:tcPr>
            <w:tcW w:w="893" w:type="dxa"/>
            <w:shd w:val="clear" w:color="auto" w:fill="F2F2F2"/>
          </w:tcPr>
          <w:p w14:paraId="27962172" w14:textId="77777777" w:rsidR="00B64D32" w:rsidRDefault="00000000">
            <w:pPr>
              <w:spacing w:after="40" w:line="240" w:lineRule="auto"/>
              <w:jc w:val="center"/>
            </w:pPr>
            <w:r>
              <w:rPr>
                <w:sz w:val="18"/>
              </w:rPr>
              <w:t>62</w:t>
            </w:r>
          </w:p>
        </w:tc>
        <w:tc>
          <w:tcPr>
            <w:tcW w:w="1123" w:type="dxa"/>
            <w:shd w:val="clear" w:color="auto" w:fill="F2F2F2"/>
          </w:tcPr>
          <w:p w14:paraId="458DCF08" w14:textId="77777777" w:rsidR="00B64D32" w:rsidRDefault="00000000">
            <w:pPr>
              <w:spacing w:after="40" w:line="240" w:lineRule="auto"/>
              <w:jc w:val="center"/>
            </w:pPr>
            <w:r>
              <w:rPr>
                <w:sz w:val="18"/>
              </w:rPr>
              <w:t>32.2</w:t>
            </w:r>
          </w:p>
        </w:tc>
      </w:tr>
      <w:tr w:rsidR="00B64D32" w14:paraId="00C63FD0" w14:textId="77777777">
        <w:trPr>
          <w:jc w:val="center"/>
        </w:trPr>
        <w:tc>
          <w:tcPr>
            <w:tcW w:w="1368" w:type="dxa"/>
          </w:tcPr>
          <w:p w14:paraId="43E8B78D" w14:textId="77777777" w:rsidR="00B64D32" w:rsidRDefault="00000000">
            <w:pPr>
              <w:spacing w:after="40" w:line="240" w:lineRule="auto"/>
            </w:pPr>
            <w:r>
              <w:rPr>
                <w:sz w:val="18"/>
              </w:rPr>
              <w:t>Pacific</w:t>
            </w:r>
          </w:p>
        </w:tc>
        <w:tc>
          <w:tcPr>
            <w:tcW w:w="893" w:type="dxa"/>
          </w:tcPr>
          <w:p w14:paraId="51D671DD" w14:textId="77777777" w:rsidR="00B64D32" w:rsidRDefault="00000000">
            <w:pPr>
              <w:spacing w:after="40" w:line="240" w:lineRule="auto"/>
              <w:jc w:val="center"/>
            </w:pPr>
            <w:r>
              <w:rPr>
                <w:sz w:val="18"/>
              </w:rPr>
              <w:t>13</w:t>
            </w:r>
          </w:p>
        </w:tc>
        <w:tc>
          <w:tcPr>
            <w:tcW w:w="1123" w:type="dxa"/>
          </w:tcPr>
          <w:p w14:paraId="2ADB1CBA" w14:textId="77777777" w:rsidR="00B64D32" w:rsidRDefault="00000000">
            <w:pPr>
              <w:spacing w:after="40" w:line="240" w:lineRule="auto"/>
              <w:jc w:val="center"/>
            </w:pPr>
            <w:r>
              <w:rPr>
                <w:sz w:val="18"/>
              </w:rPr>
              <w:t>16.1</w:t>
            </w:r>
          </w:p>
        </w:tc>
        <w:tc>
          <w:tcPr>
            <w:tcW w:w="893" w:type="dxa"/>
          </w:tcPr>
          <w:p w14:paraId="32E9E58F" w14:textId="77777777" w:rsidR="00B64D32" w:rsidRDefault="00000000">
            <w:pPr>
              <w:spacing w:after="40" w:line="240" w:lineRule="auto"/>
              <w:jc w:val="center"/>
            </w:pPr>
            <w:r>
              <w:rPr>
                <w:sz w:val="18"/>
              </w:rPr>
              <w:t>13</w:t>
            </w:r>
          </w:p>
        </w:tc>
        <w:tc>
          <w:tcPr>
            <w:tcW w:w="1123" w:type="dxa"/>
          </w:tcPr>
          <w:p w14:paraId="52187E8F" w14:textId="77777777" w:rsidR="00B64D32" w:rsidRDefault="00000000">
            <w:pPr>
              <w:spacing w:after="40" w:line="240" w:lineRule="auto"/>
              <w:jc w:val="center"/>
            </w:pPr>
            <w:r>
              <w:rPr>
                <w:sz w:val="18"/>
              </w:rPr>
              <w:t>19.2</w:t>
            </w:r>
          </w:p>
        </w:tc>
        <w:tc>
          <w:tcPr>
            <w:tcW w:w="893" w:type="dxa"/>
          </w:tcPr>
          <w:p w14:paraId="10BC051A" w14:textId="77777777" w:rsidR="00B64D32" w:rsidRDefault="00000000">
            <w:pPr>
              <w:spacing w:after="40" w:line="240" w:lineRule="auto"/>
              <w:jc w:val="center"/>
            </w:pPr>
            <w:r>
              <w:rPr>
                <w:sz w:val="18"/>
              </w:rPr>
              <w:t>2</w:t>
            </w:r>
          </w:p>
        </w:tc>
        <w:tc>
          <w:tcPr>
            <w:tcW w:w="1123" w:type="dxa"/>
          </w:tcPr>
          <w:p w14:paraId="181C5F0F" w14:textId="77777777" w:rsidR="00B64D32" w:rsidRDefault="00000000">
            <w:pPr>
              <w:spacing w:after="40" w:line="240" w:lineRule="auto"/>
              <w:jc w:val="center"/>
            </w:pPr>
            <w:r>
              <w:rPr>
                <w:sz w:val="18"/>
              </w:rPr>
              <w:t>1857.5</w:t>
            </w:r>
          </w:p>
        </w:tc>
        <w:tc>
          <w:tcPr>
            <w:tcW w:w="893" w:type="dxa"/>
          </w:tcPr>
          <w:p w14:paraId="13778729" w14:textId="77777777" w:rsidR="00B64D32" w:rsidRDefault="00000000">
            <w:pPr>
              <w:spacing w:after="40" w:line="240" w:lineRule="auto"/>
              <w:jc w:val="center"/>
            </w:pPr>
            <w:r>
              <w:rPr>
                <w:sz w:val="18"/>
              </w:rPr>
              <w:t>10</w:t>
            </w:r>
          </w:p>
        </w:tc>
        <w:tc>
          <w:tcPr>
            <w:tcW w:w="1123" w:type="dxa"/>
          </w:tcPr>
          <w:p w14:paraId="6B88F906" w14:textId="77777777" w:rsidR="00B64D32" w:rsidRDefault="00000000">
            <w:pPr>
              <w:spacing w:after="40" w:line="240" w:lineRule="auto"/>
              <w:jc w:val="center"/>
            </w:pPr>
            <w:r>
              <w:rPr>
                <w:sz w:val="18"/>
              </w:rPr>
              <w:t>13.9</w:t>
            </w:r>
          </w:p>
        </w:tc>
      </w:tr>
      <w:tr w:rsidR="00B64D32" w14:paraId="35BD4277" w14:textId="77777777">
        <w:trPr>
          <w:jc w:val="center"/>
        </w:trPr>
        <w:tc>
          <w:tcPr>
            <w:tcW w:w="1368" w:type="dxa"/>
            <w:shd w:val="clear" w:color="auto" w:fill="F2F2F2"/>
          </w:tcPr>
          <w:p w14:paraId="508ABFF1" w14:textId="77777777" w:rsidR="00B64D32" w:rsidRDefault="00000000">
            <w:pPr>
              <w:spacing w:after="40" w:line="240" w:lineRule="auto"/>
            </w:pPr>
            <w:r>
              <w:rPr>
                <w:sz w:val="18"/>
              </w:rPr>
              <w:t>Indian</w:t>
            </w:r>
          </w:p>
        </w:tc>
        <w:tc>
          <w:tcPr>
            <w:tcW w:w="893" w:type="dxa"/>
            <w:shd w:val="clear" w:color="auto" w:fill="F2F2F2"/>
          </w:tcPr>
          <w:p w14:paraId="75F24EED" w14:textId="77777777" w:rsidR="00B64D32" w:rsidRDefault="00000000">
            <w:pPr>
              <w:spacing w:after="40" w:line="240" w:lineRule="auto"/>
              <w:jc w:val="center"/>
            </w:pPr>
            <w:r>
              <w:rPr>
                <w:sz w:val="18"/>
              </w:rPr>
              <w:t>16</w:t>
            </w:r>
          </w:p>
        </w:tc>
        <w:tc>
          <w:tcPr>
            <w:tcW w:w="1123" w:type="dxa"/>
            <w:shd w:val="clear" w:color="auto" w:fill="F2F2F2"/>
          </w:tcPr>
          <w:p w14:paraId="6BCABF40" w14:textId="77777777" w:rsidR="00B64D32" w:rsidRDefault="00000000">
            <w:pPr>
              <w:spacing w:after="40" w:line="240" w:lineRule="auto"/>
              <w:jc w:val="center"/>
            </w:pPr>
            <w:r>
              <w:rPr>
                <w:sz w:val="18"/>
              </w:rPr>
              <w:t>16.9</w:t>
            </w:r>
          </w:p>
        </w:tc>
        <w:tc>
          <w:tcPr>
            <w:tcW w:w="893" w:type="dxa"/>
            <w:shd w:val="clear" w:color="auto" w:fill="F2F2F2"/>
          </w:tcPr>
          <w:p w14:paraId="5C17DC54" w14:textId="77777777" w:rsidR="00B64D32" w:rsidRDefault="00000000">
            <w:pPr>
              <w:spacing w:after="40" w:line="240" w:lineRule="auto"/>
              <w:jc w:val="center"/>
            </w:pPr>
            <w:r>
              <w:rPr>
                <w:sz w:val="18"/>
              </w:rPr>
              <w:t>11</w:t>
            </w:r>
          </w:p>
        </w:tc>
        <w:tc>
          <w:tcPr>
            <w:tcW w:w="1123" w:type="dxa"/>
            <w:shd w:val="clear" w:color="auto" w:fill="F2F2F2"/>
          </w:tcPr>
          <w:p w14:paraId="1A6C79E1" w14:textId="77777777" w:rsidR="00B64D32" w:rsidRDefault="00000000">
            <w:pPr>
              <w:spacing w:after="40" w:line="240" w:lineRule="auto"/>
              <w:jc w:val="center"/>
            </w:pPr>
            <w:r>
              <w:rPr>
                <w:sz w:val="18"/>
              </w:rPr>
              <w:t>20.0</w:t>
            </w:r>
          </w:p>
        </w:tc>
        <w:tc>
          <w:tcPr>
            <w:tcW w:w="893" w:type="dxa"/>
            <w:shd w:val="clear" w:color="auto" w:fill="F2F2F2"/>
          </w:tcPr>
          <w:p w14:paraId="4E8C6DC7" w14:textId="77777777" w:rsidR="00B64D32" w:rsidRDefault="00000000">
            <w:pPr>
              <w:spacing w:after="40" w:line="240" w:lineRule="auto"/>
              <w:jc w:val="center"/>
            </w:pPr>
            <w:r>
              <w:rPr>
                <w:sz w:val="18"/>
              </w:rPr>
              <w:t>0</w:t>
            </w:r>
          </w:p>
        </w:tc>
        <w:tc>
          <w:tcPr>
            <w:tcW w:w="1123" w:type="dxa"/>
            <w:shd w:val="clear" w:color="auto" w:fill="F2F2F2"/>
          </w:tcPr>
          <w:p w14:paraId="7C5C383E" w14:textId="77777777" w:rsidR="00B64D32" w:rsidRDefault="00000000">
            <w:pPr>
              <w:spacing w:after="40" w:line="240" w:lineRule="auto"/>
              <w:jc w:val="center"/>
            </w:pPr>
            <w:r>
              <w:rPr>
                <w:sz w:val="18"/>
              </w:rPr>
              <w:t>—</w:t>
            </w:r>
          </w:p>
        </w:tc>
        <w:tc>
          <w:tcPr>
            <w:tcW w:w="893" w:type="dxa"/>
            <w:shd w:val="clear" w:color="auto" w:fill="F2F2F2"/>
          </w:tcPr>
          <w:p w14:paraId="78E69144" w14:textId="77777777" w:rsidR="00B64D32" w:rsidRDefault="00000000">
            <w:pPr>
              <w:spacing w:after="40" w:line="240" w:lineRule="auto"/>
              <w:jc w:val="center"/>
            </w:pPr>
            <w:r>
              <w:rPr>
                <w:sz w:val="18"/>
              </w:rPr>
              <w:t>10</w:t>
            </w:r>
          </w:p>
        </w:tc>
        <w:tc>
          <w:tcPr>
            <w:tcW w:w="1123" w:type="dxa"/>
            <w:shd w:val="clear" w:color="auto" w:fill="F2F2F2"/>
          </w:tcPr>
          <w:p w14:paraId="405FC960" w14:textId="77777777" w:rsidR="00B64D32" w:rsidRDefault="00000000">
            <w:pPr>
              <w:spacing w:after="40" w:line="240" w:lineRule="auto"/>
              <w:jc w:val="center"/>
            </w:pPr>
            <w:r>
              <w:rPr>
                <w:sz w:val="18"/>
              </w:rPr>
              <w:t>12.5</w:t>
            </w:r>
          </w:p>
        </w:tc>
      </w:tr>
      <w:tr w:rsidR="00B64D32" w14:paraId="6A4D6DF4" w14:textId="77777777">
        <w:trPr>
          <w:jc w:val="center"/>
        </w:trPr>
        <w:tc>
          <w:tcPr>
            <w:tcW w:w="1368" w:type="dxa"/>
          </w:tcPr>
          <w:p w14:paraId="38AB99DC" w14:textId="77777777" w:rsidR="00B64D32" w:rsidRDefault="00000000">
            <w:pPr>
              <w:spacing w:after="40" w:line="240" w:lineRule="auto"/>
            </w:pPr>
            <w:r>
              <w:rPr>
                <w:sz w:val="18"/>
              </w:rPr>
              <w:t>Southern</w:t>
            </w:r>
          </w:p>
        </w:tc>
        <w:tc>
          <w:tcPr>
            <w:tcW w:w="893" w:type="dxa"/>
          </w:tcPr>
          <w:p w14:paraId="2A3A6377" w14:textId="77777777" w:rsidR="00B64D32" w:rsidRDefault="00000000">
            <w:pPr>
              <w:spacing w:after="40" w:line="240" w:lineRule="auto"/>
              <w:jc w:val="center"/>
            </w:pPr>
            <w:r>
              <w:rPr>
                <w:sz w:val="18"/>
              </w:rPr>
              <w:t>19</w:t>
            </w:r>
          </w:p>
        </w:tc>
        <w:tc>
          <w:tcPr>
            <w:tcW w:w="1123" w:type="dxa"/>
          </w:tcPr>
          <w:p w14:paraId="1D069E34" w14:textId="77777777" w:rsidR="00B64D32" w:rsidRDefault="00000000">
            <w:pPr>
              <w:spacing w:after="40" w:line="240" w:lineRule="auto"/>
              <w:jc w:val="center"/>
            </w:pPr>
            <w:r>
              <w:rPr>
                <w:sz w:val="18"/>
              </w:rPr>
              <w:t>6.7</w:t>
            </w:r>
          </w:p>
        </w:tc>
        <w:tc>
          <w:tcPr>
            <w:tcW w:w="893" w:type="dxa"/>
          </w:tcPr>
          <w:p w14:paraId="21EFFFCB" w14:textId="77777777" w:rsidR="00B64D32" w:rsidRDefault="00000000">
            <w:pPr>
              <w:spacing w:after="40" w:line="240" w:lineRule="auto"/>
              <w:jc w:val="center"/>
            </w:pPr>
            <w:r>
              <w:rPr>
                <w:sz w:val="18"/>
              </w:rPr>
              <w:t>12</w:t>
            </w:r>
          </w:p>
        </w:tc>
        <w:tc>
          <w:tcPr>
            <w:tcW w:w="1123" w:type="dxa"/>
          </w:tcPr>
          <w:p w14:paraId="0F34CC7E" w14:textId="77777777" w:rsidR="00B64D32" w:rsidRDefault="00000000">
            <w:pPr>
              <w:spacing w:after="40" w:line="240" w:lineRule="auto"/>
              <w:jc w:val="center"/>
            </w:pPr>
            <w:r>
              <w:rPr>
                <w:sz w:val="18"/>
              </w:rPr>
              <w:t>24.5</w:t>
            </w:r>
          </w:p>
        </w:tc>
        <w:tc>
          <w:tcPr>
            <w:tcW w:w="893" w:type="dxa"/>
          </w:tcPr>
          <w:p w14:paraId="7795A4A8" w14:textId="77777777" w:rsidR="00B64D32" w:rsidRDefault="00000000">
            <w:pPr>
              <w:spacing w:after="40" w:line="240" w:lineRule="auto"/>
              <w:jc w:val="center"/>
            </w:pPr>
            <w:r>
              <w:rPr>
                <w:sz w:val="18"/>
              </w:rPr>
              <w:t>5</w:t>
            </w:r>
          </w:p>
        </w:tc>
        <w:tc>
          <w:tcPr>
            <w:tcW w:w="1123" w:type="dxa"/>
          </w:tcPr>
          <w:p w14:paraId="42DACBA6" w14:textId="77777777" w:rsidR="00B64D32" w:rsidRDefault="00000000">
            <w:pPr>
              <w:spacing w:after="40" w:line="240" w:lineRule="auto"/>
              <w:jc w:val="center"/>
            </w:pPr>
            <w:r>
              <w:rPr>
                <w:sz w:val="18"/>
              </w:rPr>
              <w:t>98.6</w:t>
            </w:r>
          </w:p>
        </w:tc>
        <w:tc>
          <w:tcPr>
            <w:tcW w:w="893" w:type="dxa"/>
          </w:tcPr>
          <w:p w14:paraId="5EC37A7E" w14:textId="77777777" w:rsidR="00B64D32" w:rsidRDefault="00000000">
            <w:pPr>
              <w:spacing w:after="40" w:line="240" w:lineRule="auto"/>
              <w:jc w:val="center"/>
            </w:pPr>
            <w:r>
              <w:rPr>
                <w:sz w:val="18"/>
              </w:rPr>
              <w:t>19</w:t>
            </w:r>
          </w:p>
        </w:tc>
        <w:tc>
          <w:tcPr>
            <w:tcW w:w="1123" w:type="dxa"/>
          </w:tcPr>
          <w:p w14:paraId="0C3F0FCA" w14:textId="77777777" w:rsidR="00B64D32" w:rsidRDefault="00000000">
            <w:pPr>
              <w:spacing w:after="40" w:line="240" w:lineRule="auto"/>
              <w:jc w:val="center"/>
            </w:pPr>
            <w:r>
              <w:rPr>
                <w:sz w:val="18"/>
              </w:rPr>
              <w:t>34.3</w:t>
            </w:r>
          </w:p>
        </w:tc>
      </w:tr>
      <w:tr w:rsidR="00B64D32" w14:paraId="546A5B39" w14:textId="77777777">
        <w:trPr>
          <w:jc w:val="center"/>
        </w:trPr>
        <w:tc>
          <w:tcPr>
            <w:tcW w:w="1368" w:type="dxa"/>
            <w:shd w:val="clear" w:color="auto" w:fill="F2F2F2"/>
          </w:tcPr>
          <w:p w14:paraId="378024F9" w14:textId="77777777" w:rsidR="00B64D32" w:rsidRDefault="00000000">
            <w:pPr>
              <w:spacing w:after="40" w:line="240" w:lineRule="auto"/>
            </w:pPr>
            <w:r>
              <w:rPr>
                <w:sz w:val="18"/>
              </w:rPr>
              <w:t>TOTAL</w:t>
            </w:r>
          </w:p>
        </w:tc>
        <w:tc>
          <w:tcPr>
            <w:tcW w:w="893" w:type="dxa"/>
            <w:shd w:val="clear" w:color="auto" w:fill="F2F2F2"/>
          </w:tcPr>
          <w:p w14:paraId="4A173D8C" w14:textId="77777777" w:rsidR="00B64D32" w:rsidRDefault="00000000">
            <w:pPr>
              <w:spacing w:after="40" w:line="240" w:lineRule="auto"/>
              <w:jc w:val="center"/>
            </w:pPr>
            <w:r>
              <w:rPr>
                <w:sz w:val="18"/>
              </w:rPr>
              <w:t>66</w:t>
            </w:r>
          </w:p>
        </w:tc>
        <w:tc>
          <w:tcPr>
            <w:tcW w:w="1123" w:type="dxa"/>
            <w:shd w:val="clear" w:color="auto" w:fill="F2F2F2"/>
          </w:tcPr>
          <w:p w14:paraId="78A0FC92" w14:textId="77777777" w:rsidR="00B64D32" w:rsidRDefault="00000000">
            <w:pPr>
              <w:spacing w:after="40" w:line="240" w:lineRule="auto"/>
              <w:jc w:val="center"/>
            </w:pPr>
            <w:r>
              <w:rPr>
                <w:sz w:val="18"/>
              </w:rPr>
              <w:t>14.9</w:t>
            </w:r>
          </w:p>
        </w:tc>
        <w:tc>
          <w:tcPr>
            <w:tcW w:w="893" w:type="dxa"/>
            <w:shd w:val="clear" w:color="auto" w:fill="F2F2F2"/>
          </w:tcPr>
          <w:p w14:paraId="53066FA3" w14:textId="77777777" w:rsidR="00B64D32" w:rsidRDefault="00000000">
            <w:pPr>
              <w:spacing w:after="40" w:line="240" w:lineRule="auto"/>
              <w:jc w:val="center"/>
            </w:pPr>
            <w:r>
              <w:rPr>
                <w:sz w:val="18"/>
              </w:rPr>
              <w:t>57</w:t>
            </w:r>
          </w:p>
        </w:tc>
        <w:tc>
          <w:tcPr>
            <w:tcW w:w="1123" w:type="dxa"/>
            <w:shd w:val="clear" w:color="auto" w:fill="F2F2F2"/>
          </w:tcPr>
          <w:p w14:paraId="38F5B122" w14:textId="77777777" w:rsidR="00B64D32" w:rsidRDefault="00000000">
            <w:pPr>
              <w:spacing w:after="40" w:line="240" w:lineRule="auto"/>
              <w:jc w:val="center"/>
            </w:pPr>
            <w:r>
              <w:rPr>
                <w:sz w:val="18"/>
              </w:rPr>
              <w:t>23.9</w:t>
            </w:r>
          </w:p>
        </w:tc>
        <w:tc>
          <w:tcPr>
            <w:tcW w:w="893" w:type="dxa"/>
            <w:shd w:val="clear" w:color="auto" w:fill="F2F2F2"/>
          </w:tcPr>
          <w:p w14:paraId="449934ED" w14:textId="77777777" w:rsidR="00B64D32" w:rsidRDefault="00000000">
            <w:pPr>
              <w:spacing w:after="40" w:line="240" w:lineRule="auto"/>
              <w:jc w:val="center"/>
            </w:pPr>
            <w:r>
              <w:rPr>
                <w:sz w:val="18"/>
              </w:rPr>
              <w:t>38</w:t>
            </w:r>
          </w:p>
        </w:tc>
        <w:tc>
          <w:tcPr>
            <w:tcW w:w="1123" w:type="dxa"/>
            <w:shd w:val="clear" w:color="auto" w:fill="F2F2F2"/>
          </w:tcPr>
          <w:p w14:paraId="44903E31" w14:textId="77777777" w:rsidR="00B64D32" w:rsidRDefault="00000000">
            <w:pPr>
              <w:spacing w:after="40" w:line="240" w:lineRule="auto"/>
              <w:jc w:val="center"/>
            </w:pPr>
            <w:r>
              <w:rPr>
                <w:sz w:val="18"/>
              </w:rPr>
              <w:t>202.8</w:t>
            </w:r>
          </w:p>
        </w:tc>
        <w:tc>
          <w:tcPr>
            <w:tcW w:w="893" w:type="dxa"/>
            <w:shd w:val="clear" w:color="auto" w:fill="F2F2F2"/>
          </w:tcPr>
          <w:p w14:paraId="6CAEAC53" w14:textId="77777777" w:rsidR="00B64D32" w:rsidRDefault="00000000">
            <w:pPr>
              <w:spacing w:after="40" w:line="240" w:lineRule="auto"/>
              <w:jc w:val="center"/>
            </w:pPr>
            <w:r>
              <w:rPr>
                <w:sz w:val="18"/>
              </w:rPr>
              <w:t>103</w:t>
            </w:r>
          </w:p>
        </w:tc>
        <w:tc>
          <w:tcPr>
            <w:tcW w:w="1123" w:type="dxa"/>
            <w:shd w:val="clear" w:color="auto" w:fill="F2F2F2"/>
          </w:tcPr>
          <w:p w14:paraId="0415D3C8" w14:textId="77777777" w:rsidR="00B64D32" w:rsidRDefault="00000000">
            <w:pPr>
              <w:spacing w:after="40" w:line="240" w:lineRule="auto"/>
              <w:jc w:val="center"/>
            </w:pPr>
            <w:r>
              <w:rPr>
                <w:sz w:val="18"/>
              </w:rPr>
              <w:t>30.4</w:t>
            </w:r>
          </w:p>
        </w:tc>
      </w:tr>
    </w:tbl>
    <w:p w14:paraId="0F3A830F" w14:textId="77777777" w:rsidR="00B64D32" w:rsidRDefault="00B64D32">
      <w:pPr>
        <w:spacing w:after="80"/>
      </w:pPr>
    </w:p>
    <w:p w14:paraId="52C298C3" w14:textId="77777777" w:rsidR="00B64D32" w:rsidRDefault="00000000">
      <w:pPr>
        <w:spacing w:after="60"/>
      </w:pPr>
      <w:r>
        <w:rPr>
          <w:b/>
        </w:rPr>
        <w:t>Notes on reading this table:</w:t>
      </w:r>
    </w:p>
    <w:p w14:paraId="0E6B412B" w14:textId="77777777" w:rsidR="00B64D32" w:rsidRDefault="00000000">
      <w:pPr>
        <w:pStyle w:val="ListBullet"/>
        <w:spacing w:after="80"/>
      </w:pPr>
      <w:r>
        <w:t>“Mean pts” is the average number of SST values per core inside 115–140 ka (inside 115–130 ka for Hoffman). Totals: 981 mined points, 1,365 chronology-duplicate points, 7,708 depth-only points.</w:t>
      </w:r>
    </w:p>
    <w:p w14:paraId="43AFB74F" w14:textId="7A9A744A" w:rsidR="00B64D32" w:rsidRDefault="00000000">
      <w:pPr>
        <w:pStyle w:val="ListBullet"/>
        <w:spacing w:after="80"/>
      </w:pPr>
      <w:r>
        <w:t xml:space="preserve">For Hoffman the figure quoted is the count of </w:t>
      </w:r>
      <w:r w:rsidR="00303035">
        <w:t>raw</w:t>
      </w:r>
      <w:r>
        <w:t xml:space="preserve"> proxy samples (column P). The harmonised series in columns S/T/U is interpolated onto the 0.1 ka grid and is therefore a constant 151 points per core, which would not be a like-for-like comparison.</w:t>
      </w:r>
    </w:p>
    <w:p w14:paraId="47181D60" w14:textId="77777777" w:rsidR="00B64D32" w:rsidRDefault="00000000">
      <w:pPr>
        <w:pStyle w:val="ListBullet"/>
        <w:spacing w:after="80"/>
      </w:pPr>
      <w:r>
        <w:t>The Pacific mean in Jerry's sheet is dominated by two very densely sampled IODP U1429 tabs (1,735 and 1,980 points); the other 36 cores average about 110.</w:t>
      </w:r>
    </w:p>
    <w:p w14:paraId="032BD740" w14:textId="77777777" w:rsidR="00B64D32" w:rsidRDefault="00000000">
      <w:pPr>
        <w:pStyle w:val="ListBullet"/>
        <w:spacing w:after="80"/>
      </w:pPr>
      <w:r>
        <w:t>The new data are strongest where Hoffman is weakest. Hoffman is roughly 60% Atlantic; the mined set adds 16 Indian Ocean and 19 Southern Ocean records, both regions where the reduced-space reconstruction is least constrained.</w:t>
      </w:r>
    </w:p>
    <w:p w14:paraId="43ED70E4" w14:textId="77777777" w:rsidR="00B64D32" w:rsidRDefault="00000000">
      <w:pPr>
        <w:pStyle w:val="ListBullet"/>
        <w:spacing w:after="80"/>
      </w:pPr>
      <w:r>
        <w:t>There are no new Arctic records. Arctic LIG SST remains constrained only by the two Hoffman cores.</w:t>
      </w:r>
    </w:p>
    <w:p w14:paraId="0710AEFB" w14:textId="16155BCF" w:rsidR="00B64D32" w:rsidRDefault="00000000">
      <w:pPr>
        <w:pStyle w:val="ListBullet"/>
        <w:spacing w:after="80"/>
      </w:pPr>
      <w:r>
        <w:t>Southern Ocean records are sparse per core (6.7 points on average). They were deliberately kept rather than dropped</w:t>
      </w:r>
      <w:r w:rsidR="00A41BB2">
        <w:t>.</w:t>
      </w:r>
    </w:p>
    <w:p w14:paraId="261576A0" w14:textId="77777777" w:rsidR="00B64D32" w:rsidRDefault="00000000">
      <w:r>
        <w:br w:type="page"/>
      </w:r>
    </w:p>
    <w:p w14:paraId="2074AEBF" w14:textId="77777777" w:rsidR="00B64D32" w:rsidRDefault="00000000">
      <w:pPr>
        <w:pStyle w:val="Heading1"/>
        <w:spacing w:before="320" w:after="120"/>
      </w:pPr>
      <w:r>
        <w:rPr>
          <w:rFonts w:ascii="Calibri" w:hAnsi="Calibri"/>
          <w:color w:val="1F3B5C"/>
          <w:sz w:val="30"/>
        </w:rPr>
        <w:lastRenderedPageBreak/>
        <w:t>4. Column dictionary</w:t>
      </w:r>
    </w:p>
    <w:p w14:paraId="376087F7" w14:textId="77777777" w:rsidR="00B64D32" w:rsidRDefault="00000000">
      <w:r>
        <w:t>The three output workbooks share one layout, inherited from the Hoffman et al. (2017) template so that mined and Hoffman records can be concatenated without remapping. There is one tab per core; tabs are named {CoreID}, or {CoreID}_{Proxy} when a single study reports several proxies for one core.</w:t>
      </w:r>
    </w:p>
    <w:p w14:paraId="0D4CD983" w14:textId="77777777" w:rsidR="00B64D32" w:rsidRDefault="00000000">
      <w:r>
        <w:rPr>
          <w:b/>
        </w:rPr>
        <w:t>Row 1 holds the headers. Row 2 is both the first data row and the row carrying all core-level metadata</w:t>
      </w:r>
      <w:r>
        <w:t xml:space="preserve"> — identity, position, citation, method. Columns L–U vary row by row; columns A–D and V–AA are populated in row 2 only.</w:t>
      </w:r>
    </w:p>
    <w:tbl>
      <w:tblPr>
        <w:tblStyle w:val="TableGrid"/>
        <w:tblW w:w="0" w:type="auto"/>
        <w:jc w:val="center"/>
        <w:tblLayout w:type="fixed"/>
        <w:tblLook w:val="04A0" w:firstRow="1" w:lastRow="0" w:firstColumn="1" w:lastColumn="0" w:noHBand="0" w:noVBand="1"/>
      </w:tblPr>
      <w:tblGrid>
        <w:gridCol w:w="792"/>
        <w:gridCol w:w="2088"/>
        <w:gridCol w:w="6840"/>
      </w:tblGrid>
      <w:tr w:rsidR="00B64D32" w14:paraId="44A7D2BA" w14:textId="77777777">
        <w:trPr>
          <w:jc w:val="center"/>
        </w:trPr>
        <w:tc>
          <w:tcPr>
            <w:tcW w:w="792" w:type="dxa"/>
            <w:shd w:val="clear" w:color="auto" w:fill="1F3B5C"/>
          </w:tcPr>
          <w:p w14:paraId="584134B4" w14:textId="77777777" w:rsidR="00B64D32" w:rsidRDefault="00000000">
            <w:pPr>
              <w:spacing w:after="40"/>
            </w:pPr>
            <w:r>
              <w:rPr>
                <w:b/>
                <w:color w:val="FFFFFF"/>
                <w:sz w:val="18"/>
              </w:rPr>
              <w:t>Col</w:t>
            </w:r>
          </w:p>
        </w:tc>
        <w:tc>
          <w:tcPr>
            <w:tcW w:w="2088" w:type="dxa"/>
            <w:shd w:val="clear" w:color="auto" w:fill="1F3B5C"/>
          </w:tcPr>
          <w:p w14:paraId="588FCD7B" w14:textId="77777777" w:rsidR="00B64D32" w:rsidRDefault="00000000">
            <w:pPr>
              <w:spacing w:after="40"/>
            </w:pPr>
            <w:r>
              <w:rPr>
                <w:b/>
                <w:color w:val="FFFFFF"/>
                <w:sz w:val="18"/>
              </w:rPr>
              <w:t>Field</w:t>
            </w:r>
          </w:p>
        </w:tc>
        <w:tc>
          <w:tcPr>
            <w:tcW w:w="6840" w:type="dxa"/>
            <w:shd w:val="clear" w:color="auto" w:fill="1F3B5C"/>
          </w:tcPr>
          <w:p w14:paraId="1FCADDB3" w14:textId="77777777" w:rsidR="00B64D32" w:rsidRDefault="00000000">
            <w:pPr>
              <w:spacing w:after="40"/>
            </w:pPr>
            <w:r>
              <w:rPr>
                <w:b/>
                <w:color w:val="FFFFFF"/>
                <w:sz w:val="18"/>
              </w:rPr>
              <w:t>Meaning and conventions</w:t>
            </w:r>
          </w:p>
        </w:tc>
      </w:tr>
      <w:tr w:rsidR="00B64D32" w14:paraId="1775CAF5" w14:textId="77777777">
        <w:trPr>
          <w:jc w:val="center"/>
        </w:trPr>
        <w:tc>
          <w:tcPr>
            <w:tcW w:w="792" w:type="dxa"/>
          </w:tcPr>
          <w:p w14:paraId="754BF3F9" w14:textId="77777777" w:rsidR="00B64D32" w:rsidRDefault="00000000">
            <w:pPr>
              <w:spacing w:after="40" w:line="240" w:lineRule="auto"/>
            </w:pPr>
            <w:r>
              <w:rPr>
                <w:sz w:val="18"/>
              </w:rPr>
              <w:t>A</w:t>
            </w:r>
          </w:p>
        </w:tc>
        <w:tc>
          <w:tcPr>
            <w:tcW w:w="2088" w:type="dxa"/>
          </w:tcPr>
          <w:p w14:paraId="7DDB7F74" w14:textId="77777777" w:rsidR="00B64D32" w:rsidRDefault="00000000">
            <w:pPr>
              <w:spacing w:after="40" w:line="240" w:lineRule="auto"/>
            </w:pPr>
            <w:r>
              <w:rPr>
                <w:sz w:val="18"/>
              </w:rPr>
              <w:t>ID</w:t>
            </w:r>
          </w:p>
        </w:tc>
        <w:tc>
          <w:tcPr>
            <w:tcW w:w="6840" w:type="dxa"/>
          </w:tcPr>
          <w:p w14:paraId="68B589D6" w14:textId="77777777" w:rsidR="00B64D32" w:rsidRDefault="00000000">
            <w:pPr>
              <w:spacing w:after="40" w:line="240" w:lineRule="auto"/>
            </w:pPr>
            <w:r>
              <w:rPr>
                <w:sz w:val="18"/>
              </w:rPr>
              <w:t>Core identifier, without any proxy suffix. Normalised so that the same physical core carries one spelling everywhere.</w:t>
            </w:r>
          </w:p>
        </w:tc>
      </w:tr>
      <w:tr w:rsidR="00B64D32" w14:paraId="13BD8D3B" w14:textId="77777777">
        <w:trPr>
          <w:jc w:val="center"/>
        </w:trPr>
        <w:tc>
          <w:tcPr>
            <w:tcW w:w="792" w:type="dxa"/>
            <w:shd w:val="clear" w:color="auto" w:fill="F2F2F2"/>
          </w:tcPr>
          <w:p w14:paraId="1CF7E848" w14:textId="77777777" w:rsidR="00B64D32" w:rsidRDefault="00000000">
            <w:pPr>
              <w:spacing w:after="40" w:line="240" w:lineRule="auto"/>
            </w:pPr>
            <w:r>
              <w:rPr>
                <w:sz w:val="18"/>
              </w:rPr>
              <w:t>B, C</w:t>
            </w:r>
          </w:p>
        </w:tc>
        <w:tc>
          <w:tcPr>
            <w:tcW w:w="2088" w:type="dxa"/>
            <w:shd w:val="clear" w:color="auto" w:fill="F2F2F2"/>
          </w:tcPr>
          <w:p w14:paraId="6D96CC60" w14:textId="77777777" w:rsidR="00B64D32" w:rsidRDefault="00000000">
            <w:pPr>
              <w:spacing w:after="40" w:line="240" w:lineRule="auto"/>
            </w:pPr>
            <w:r>
              <w:rPr>
                <w:sz w:val="18"/>
              </w:rPr>
              <w:t>Longitude, Latitude</w:t>
            </w:r>
          </w:p>
        </w:tc>
        <w:tc>
          <w:tcPr>
            <w:tcW w:w="6840" w:type="dxa"/>
            <w:shd w:val="clear" w:color="auto" w:fill="F2F2F2"/>
          </w:tcPr>
          <w:p w14:paraId="4D2B5DE2" w14:textId="77777777" w:rsidR="00B64D32" w:rsidRDefault="00000000">
            <w:pPr>
              <w:spacing w:after="40" w:line="240" w:lineRule="auto"/>
            </w:pPr>
            <w:r>
              <w:rPr>
                <w:sz w:val="18"/>
              </w:rPr>
              <w:t>Decimal degrees, numeric. Longitude negative west, latitude negative south.</w:t>
            </w:r>
          </w:p>
        </w:tc>
      </w:tr>
      <w:tr w:rsidR="00B64D32" w14:paraId="6A9582F7" w14:textId="77777777">
        <w:trPr>
          <w:jc w:val="center"/>
        </w:trPr>
        <w:tc>
          <w:tcPr>
            <w:tcW w:w="792" w:type="dxa"/>
          </w:tcPr>
          <w:p w14:paraId="69DFDA03" w14:textId="77777777" w:rsidR="00B64D32" w:rsidRDefault="00000000">
            <w:pPr>
              <w:spacing w:after="40" w:line="240" w:lineRule="auto"/>
            </w:pPr>
            <w:r>
              <w:rPr>
                <w:sz w:val="18"/>
              </w:rPr>
              <w:t>D</w:t>
            </w:r>
          </w:p>
        </w:tc>
        <w:tc>
          <w:tcPr>
            <w:tcW w:w="2088" w:type="dxa"/>
          </w:tcPr>
          <w:p w14:paraId="4BBB8D2A" w14:textId="77777777" w:rsidR="00B64D32" w:rsidRDefault="00000000">
            <w:pPr>
              <w:spacing w:after="40" w:line="240" w:lineRule="auto"/>
            </w:pPr>
            <w:r>
              <w:rPr>
                <w:sz w:val="18"/>
              </w:rPr>
              <w:t>Proxy</w:t>
            </w:r>
          </w:p>
        </w:tc>
        <w:tc>
          <w:tcPr>
            <w:tcW w:w="6840" w:type="dxa"/>
          </w:tcPr>
          <w:p w14:paraId="7523698F" w14:textId="77777777" w:rsidR="00B64D32" w:rsidRDefault="00000000">
            <w:pPr>
              <w:spacing w:after="40" w:line="240" w:lineRule="auto"/>
            </w:pPr>
            <w:r>
              <w:rPr>
                <w:sz w:val="18"/>
              </w:rPr>
              <w:t>One of UK37, MgCa, TEX86, Foram, Diatom, Radiolaria, Cocc. Anything outside Hoffman's six types is flagged for review.</w:t>
            </w:r>
          </w:p>
        </w:tc>
      </w:tr>
      <w:tr w:rsidR="00B64D32" w14:paraId="5E9CBB1C" w14:textId="77777777">
        <w:trPr>
          <w:jc w:val="center"/>
        </w:trPr>
        <w:tc>
          <w:tcPr>
            <w:tcW w:w="792" w:type="dxa"/>
            <w:shd w:val="clear" w:color="auto" w:fill="F2F2F2"/>
          </w:tcPr>
          <w:p w14:paraId="04CE2CDA" w14:textId="77777777" w:rsidR="00B64D32" w:rsidRDefault="00000000">
            <w:pPr>
              <w:spacing w:after="40" w:line="240" w:lineRule="auto"/>
            </w:pPr>
            <w:r>
              <w:rPr>
                <w:sz w:val="18"/>
              </w:rPr>
              <w:t>E–K</w:t>
            </w:r>
          </w:p>
        </w:tc>
        <w:tc>
          <w:tcPr>
            <w:tcW w:w="2088" w:type="dxa"/>
            <w:shd w:val="clear" w:color="auto" w:fill="F2F2F2"/>
          </w:tcPr>
          <w:p w14:paraId="749B68FB" w14:textId="77777777" w:rsidR="00B64D32" w:rsidRDefault="00000000">
            <w:pPr>
              <w:spacing w:after="40" w:line="240" w:lineRule="auto"/>
            </w:pPr>
            <w:r>
              <w:rPr>
                <w:sz w:val="18"/>
              </w:rPr>
              <w:t>(Hoffman-specific)</w:t>
            </w:r>
          </w:p>
        </w:tc>
        <w:tc>
          <w:tcPr>
            <w:tcW w:w="6840" w:type="dxa"/>
            <w:shd w:val="clear" w:color="auto" w:fill="F2F2F2"/>
          </w:tcPr>
          <w:p w14:paraId="09175175" w14:textId="77777777" w:rsidR="00B64D32" w:rsidRDefault="00000000">
            <w:pPr>
              <w:spacing w:after="40" w:line="240" w:lineRule="auto"/>
            </w:pPr>
            <w:r>
              <w:rPr>
                <w:sz w:val="18"/>
              </w:rPr>
              <w:t>Deliberately blank. These hold Hoffman's tie-point and bias-correction bookkeeping, which does not apply to raw mined records. Retained so the layout matches.</w:t>
            </w:r>
          </w:p>
        </w:tc>
      </w:tr>
      <w:tr w:rsidR="00B64D32" w14:paraId="4F22D7EA" w14:textId="77777777">
        <w:trPr>
          <w:jc w:val="center"/>
        </w:trPr>
        <w:tc>
          <w:tcPr>
            <w:tcW w:w="792" w:type="dxa"/>
          </w:tcPr>
          <w:p w14:paraId="3DC3178F" w14:textId="77777777" w:rsidR="00B64D32" w:rsidRDefault="00000000">
            <w:pPr>
              <w:spacing w:after="40" w:line="240" w:lineRule="auto"/>
            </w:pPr>
            <w:r>
              <w:rPr>
                <w:sz w:val="18"/>
              </w:rPr>
              <w:t>L, M</w:t>
            </w:r>
          </w:p>
        </w:tc>
        <w:tc>
          <w:tcPr>
            <w:tcW w:w="2088" w:type="dxa"/>
          </w:tcPr>
          <w:p w14:paraId="006BA27E" w14:textId="77777777" w:rsidR="00B64D32" w:rsidRDefault="00000000">
            <w:pPr>
              <w:spacing w:after="40" w:line="240" w:lineRule="auto"/>
            </w:pPr>
            <w:r>
              <w:rPr>
                <w:sz w:val="18"/>
              </w:rPr>
              <w:t>Benthic δ18O depth / value</w:t>
            </w:r>
          </w:p>
        </w:tc>
        <w:tc>
          <w:tcPr>
            <w:tcW w:w="6840" w:type="dxa"/>
          </w:tcPr>
          <w:p w14:paraId="3C457193" w14:textId="77777777" w:rsidR="00B64D32" w:rsidRDefault="00000000">
            <w:pPr>
              <w:spacing w:after="40" w:line="240" w:lineRule="auto"/>
            </w:pPr>
            <w:r>
              <w:rPr>
                <w:sz w:val="18"/>
              </w:rPr>
              <w:t>Populated only where the source publishes a benthic isotope series alongside SST.</w:t>
            </w:r>
          </w:p>
        </w:tc>
      </w:tr>
      <w:tr w:rsidR="00B64D32" w14:paraId="41D4FC61" w14:textId="77777777">
        <w:trPr>
          <w:jc w:val="center"/>
        </w:trPr>
        <w:tc>
          <w:tcPr>
            <w:tcW w:w="792" w:type="dxa"/>
            <w:shd w:val="clear" w:color="auto" w:fill="F2F2F2"/>
          </w:tcPr>
          <w:p w14:paraId="06C20434" w14:textId="77777777" w:rsidR="00B64D32" w:rsidRDefault="00000000">
            <w:pPr>
              <w:spacing w:after="40" w:line="240" w:lineRule="auto"/>
            </w:pPr>
            <w:r>
              <w:rPr>
                <w:sz w:val="18"/>
              </w:rPr>
              <w:t>N</w:t>
            </w:r>
          </w:p>
        </w:tc>
        <w:tc>
          <w:tcPr>
            <w:tcW w:w="2088" w:type="dxa"/>
            <w:shd w:val="clear" w:color="auto" w:fill="F2F2F2"/>
          </w:tcPr>
          <w:p w14:paraId="5C27EA59" w14:textId="77777777" w:rsidR="00B64D32" w:rsidRDefault="00000000">
            <w:pPr>
              <w:spacing w:after="40" w:line="240" w:lineRule="auto"/>
            </w:pPr>
            <w:r>
              <w:rPr>
                <w:sz w:val="18"/>
              </w:rPr>
              <w:t>Depth (cm)</w:t>
            </w:r>
          </w:p>
        </w:tc>
        <w:tc>
          <w:tcPr>
            <w:tcW w:w="6840" w:type="dxa"/>
            <w:shd w:val="clear" w:color="auto" w:fill="F2F2F2"/>
          </w:tcPr>
          <w:p w14:paraId="02563FAA" w14:textId="77777777" w:rsidR="00B64D32" w:rsidRDefault="00000000">
            <w:pPr>
              <w:spacing w:after="40" w:line="240" w:lineRule="auto"/>
            </w:pPr>
            <w:r>
              <w:rPr>
                <w:sz w:val="18"/>
              </w:rPr>
              <w:t>Always centimetres. Sources reporting mbsf, mcd or metres are converted (×100), and the conversion is recorded in column Y.</w:t>
            </w:r>
          </w:p>
        </w:tc>
      </w:tr>
      <w:tr w:rsidR="00B64D32" w14:paraId="4040BF55" w14:textId="77777777">
        <w:trPr>
          <w:jc w:val="center"/>
        </w:trPr>
        <w:tc>
          <w:tcPr>
            <w:tcW w:w="792" w:type="dxa"/>
          </w:tcPr>
          <w:p w14:paraId="22E2E1BF" w14:textId="77777777" w:rsidR="00B64D32" w:rsidRDefault="00000000">
            <w:pPr>
              <w:spacing w:after="40" w:line="240" w:lineRule="auto"/>
            </w:pPr>
            <w:r>
              <w:rPr>
                <w:sz w:val="18"/>
              </w:rPr>
              <w:t>O</w:t>
            </w:r>
          </w:p>
        </w:tc>
        <w:tc>
          <w:tcPr>
            <w:tcW w:w="2088" w:type="dxa"/>
          </w:tcPr>
          <w:p w14:paraId="74FB11F5" w14:textId="77777777" w:rsidR="00B64D32" w:rsidRDefault="00000000">
            <w:pPr>
              <w:spacing w:after="40" w:line="240" w:lineRule="auto"/>
            </w:pPr>
            <w:r>
              <w:rPr>
                <w:sz w:val="18"/>
              </w:rPr>
              <w:t>Proxy Value</w:t>
            </w:r>
          </w:p>
        </w:tc>
        <w:tc>
          <w:tcPr>
            <w:tcW w:w="6840" w:type="dxa"/>
          </w:tcPr>
          <w:p w14:paraId="5EECDF56" w14:textId="77777777" w:rsidR="00B64D32" w:rsidRDefault="00000000">
            <w:pPr>
              <w:spacing w:after="40" w:line="240" w:lineRule="auto"/>
            </w:pPr>
            <w:r>
              <w:rPr>
                <w:sz w:val="18"/>
              </w:rPr>
              <w:t>The raw measured index behind the SST — the UK'37 ratio, the Mg/Ca in mmol/mol, the TEX86 value. Retained so any calibration can be revisited without returning to the source file.</w:t>
            </w:r>
          </w:p>
        </w:tc>
      </w:tr>
      <w:tr w:rsidR="00B64D32" w14:paraId="65512927" w14:textId="77777777">
        <w:trPr>
          <w:jc w:val="center"/>
        </w:trPr>
        <w:tc>
          <w:tcPr>
            <w:tcW w:w="792" w:type="dxa"/>
            <w:shd w:val="clear" w:color="auto" w:fill="F2F2F2"/>
          </w:tcPr>
          <w:p w14:paraId="0EF8F899" w14:textId="77777777" w:rsidR="00B64D32" w:rsidRDefault="00000000">
            <w:pPr>
              <w:spacing w:after="40" w:line="240" w:lineRule="auto"/>
            </w:pPr>
            <w:r>
              <w:rPr>
                <w:sz w:val="18"/>
              </w:rPr>
              <w:t>P</w:t>
            </w:r>
          </w:p>
        </w:tc>
        <w:tc>
          <w:tcPr>
            <w:tcW w:w="2088" w:type="dxa"/>
            <w:shd w:val="clear" w:color="auto" w:fill="F2F2F2"/>
          </w:tcPr>
          <w:p w14:paraId="0065BB76" w14:textId="77777777" w:rsidR="00B64D32" w:rsidRDefault="00000000">
            <w:pPr>
              <w:spacing w:after="40" w:line="240" w:lineRule="auto"/>
            </w:pPr>
            <w:r>
              <w:rPr>
                <w:sz w:val="18"/>
              </w:rPr>
              <w:t>SST (ºC)</w:t>
            </w:r>
          </w:p>
        </w:tc>
        <w:tc>
          <w:tcPr>
            <w:tcW w:w="6840" w:type="dxa"/>
            <w:shd w:val="clear" w:color="auto" w:fill="F2F2F2"/>
          </w:tcPr>
          <w:p w14:paraId="59D541FB" w14:textId="77777777" w:rsidR="00B64D32" w:rsidRDefault="00000000">
            <w:pPr>
              <w:spacing w:after="40" w:line="240" w:lineRule="auto"/>
            </w:pPr>
            <w:r>
              <w:rPr>
                <w:sz w:val="18"/>
              </w:rPr>
              <w:t>A copy of column T. Where a study interpolated its own SST this is flagged, so P and T can be distinguished later.</w:t>
            </w:r>
          </w:p>
        </w:tc>
      </w:tr>
      <w:tr w:rsidR="00B64D32" w14:paraId="50C05674" w14:textId="77777777">
        <w:trPr>
          <w:jc w:val="center"/>
        </w:trPr>
        <w:tc>
          <w:tcPr>
            <w:tcW w:w="792" w:type="dxa"/>
          </w:tcPr>
          <w:p w14:paraId="75A4A5C4" w14:textId="77777777" w:rsidR="00B64D32" w:rsidRDefault="00000000">
            <w:pPr>
              <w:spacing w:after="40" w:line="240" w:lineRule="auto"/>
            </w:pPr>
            <w:r>
              <w:rPr>
                <w:sz w:val="18"/>
              </w:rPr>
              <w:t>Q</w:t>
            </w:r>
          </w:p>
        </w:tc>
        <w:tc>
          <w:tcPr>
            <w:tcW w:w="2088" w:type="dxa"/>
          </w:tcPr>
          <w:p w14:paraId="48783FEC" w14:textId="77777777" w:rsidR="00B64D32" w:rsidRDefault="00000000">
            <w:pPr>
              <w:spacing w:after="40" w:line="240" w:lineRule="auto"/>
            </w:pPr>
            <w:r>
              <w:rPr>
                <w:sz w:val="18"/>
              </w:rPr>
              <w:t>Biascorr</w:t>
            </w:r>
          </w:p>
        </w:tc>
        <w:tc>
          <w:tcPr>
            <w:tcW w:w="6840" w:type="dxa"/>
          </w:tcPr>
          <w:p w14:paraId="483913FB" w14:textId="77777777" w:rsidR="00B64D32" w:rsidRDefault="00000000">
            <w:pPr>
              <w:spacing w:after="40" w:line="240" w:lineRule="auto"/>
            </w:pPr>
            <w:r>
              <w:rPr>
                <w:sz w:val="18"/>
              </w:rPr>
              <w:t>Blank. Reserved for the Hadley bias correction applied to Hoffman records.</w:t>
            </w:r>
          </w:p>
        </w:tc>
      </w:tr>
      <w:tr w:rsidR="00B64D32" w14:paraId="29808354" w14:textId="77777777">
        <w:trPr>
          <w:jc w:val="center"/>
        </w:trPr>
        <w:tc>
          <w:tcPr>
            <w:tcW w:w="792" w:type="dxa"/>
            <w:shd w:val="clear" w:color="auto" w:fill="F2F2F2"/>
          </w:tcPr>
          <w:p w14:paraId="7DC18AE9" w14:textId="77777777" w:rsidR="00B64D32" w:rsidRDefault="00000000">
            <w:pPr>
              <w:spacing w:after="40" w:line="240" w:lineRule="auto"/>
            </w:pPr>
            <w:r>
              <w:rPr>
                <w:sz w:val="18"/>
              </w:rPr>
              <w:t>R</w:t>
            </w:r>
          </w:p>
        </w:tc>
        <w:tc>
          <w:tcPr>
            <w:tcW w:w="2088" w:type="dxa"/>
            <w:shd w:val="clear" w:color="auto" w:fill="F2F2F2"/>
          </w:tcPr>
          <w:p w14:paraId="04FB06A2" w14:textId="77777777" w:rsidR="00B64D32" w:rsidRDefault="00000000">
            <w:pPr>
              <w:spacing w:after="40" w:line="240" w:lineRule="auto"/>
            </w:pPr>
            <w:r>
              <w:rPr>
                <w:sz w:val="18"/>
              </w:rPr>
              <w:t>Age (yr)</w:t>
            </w:r>
          </w:p>
        </w:tc>
        <w:tc>
          <w:tcPr>
            <w:tcW w:w="6840" w:type="dxa"/>
            <w:shd w:val="clear" w:color="auto" w:fill="F2F2F2"/>
          </w:tcPr>
          <w:p w14:paraId="2D3A1D3D" w14:textId="77777777" w:rsidR="00B64D32" w:rsidRDefault="00000000">
            <w:pPr>
              <w:spacing w:after="40" w:line="240" w:lineRule="auto"/>
            </w:pPr>
            <w:r>
              <w:rPr>
                <w:sz w:val="18"/>
              </w:rPr>
              <w:t>Always years before present (1950), never ka. Only rows with 115,000 ≤ age ≤ 140,000 are retained.</w:t>
            </w:r>
          </w:p>
        </w:tc>
      </w:tr>
      <w:tr w:rsidR="00B64D32" w14:paraId="53CA4CB1" w14:textId="77777777">
        <w:trPr>
          <w:jc w:val="center"/>
        </w:trPr>
        <w:tc>
          <w:tcPr>
            <w:tcW w:w="792" w:type="dxa"/>
          </w:tcPr>
          <w:p w14:paraId="423B0302" w14:textId="77777777" w:rsidR="00B64D32" w:rsidRDefault="00000000">
            <w:pPr>
              <w:spacing w:after="40" w:line="240" w:lineRule="auto"/>
            </w:pPr>
            <w:r>
              <w:rPr>
                <w:sz w:val="18"/>
              </w:rPr>
              <w:t>S, T, U</w:t>
            </w:r>
          </w:p>
        </w:tc>
        <w:tc>
          <w:tcPr>
            <w:tcW w:w="2088" w:type="dxa"/>
          </w:tcPr>
          <w:p w14:paraId="6CEF473B" w14:textId="77777777" w:rsidR="00B64D32" w:rsidRDefault="00000000">
            <w:pPr>
              <w:spacing w:after="40" w:line="240" w:lineRule="auto"/>
            </w:pPr>
            <w:r>
              <w:rPr>
                <w:sz w:val="18"/>
              </w:rPr>
              <w:t>SST −2sd, SST mean, SST +2sd</w:t>
            </w:r>
          </w:p>
        </w:tc>
        <w:tc>
          <w:tcPr>
            <w:tcW w:w="6840" w:type="dxa"/>
          </w:tcPr>
          <w:p w14:paraId="328C84AA" w14:textId="77777777" w:rsidR="00B64D32" w:rsidRDefault="00000000">
            <w:pPr>
              <w:spacing w:after="40" w:line="240" w:lineRule="auto"/>
            </w:pPr>
            <w:r>
              <w:rPr>
                <w:sz w:val="18"/>
              </w:rPr>
              <w:t>T is the value used in any comparison. S and U are a 2sd envelope — see §5.3 for how these were derived when the source reported something other than 2sd.</w:t>
            </w:r>
          </w:p>
        </w:tc>
      </w:tr>
      <w:tr w:rsidR="00B64D32" w14:paraId="45A086B3" w14:textId="77777777">
        <w:trPr>
          <w:jc w:val="center"/>
        </w:trPr>
        <w:tc>
          <w:tcPr>
            <w:tcW w:w="792" w:type="dxa"/>
            <w:shd w:val="clear" w:color="auto" w:fill="F2F2F2"/>
          </w:tcPr>
          <w:p w14:paraId="12ED0176" w14:textId="77777777" w:rsidR="00B64D32" w:rsidRDefault="00000000">
            <w:pPr>
              <w:spacing w:after="40" w:line="240" w:lineRule="auto"/>
            </w:pPr>
            <w:r>
              <w:rPr>
                <w:sz w:val="18"/>
              </w:rPr>
              <w:t>V</w:t>
            </w:r>
          </w:p>
        </w:tc>
        <w:tc>
          <w:tcPr>
            <w:tcW w:w="2088" w:type="dxa"/>
            <w:shd w:val="clear" w:color="auto" w:fill="F2F2F2"/>
          </w:tcPr>
          <w:p w14:paraId="295DD992" w14:textId="77777777" w:rsidR="00B64D32" w:rsidRDefault="00000000">
            <w:pPr>
              <w:spacing w:after="40" w:line="240" w:lineRule="auto"/>
            </w:pPr>
            <w:r>
              <w:rPr>
                <w:sz w:val="18"/>
              </w:rPr>
              <w:t>Publication</w:t>
            </w:r>
          </w:p>
        </w:tc>
        <w:tc>
          <w:tcPr>
            <w:tcW w:w="6840" w:type="dxa"/>
            <w:shd w:val="clear" w:color="auto" w:fill="F2F2F2"/>
          </w:tcPr>
          <w:p w14:paraId="10707761" w14:textId="77777777" w:rsidR="00B64D32" w:rsidRDefault="00000000">
            <w:pPr>
              <w:spacing w:after="40" w:line="240" w:lineRule="auto"/>
            </w:pPr>
            <w:r>
              <w:rPr>
                <w:sz w:val="18"/>
              </w:rPr>
              <w:t>Full citation, with DOI where the source provides one.</w:t>
            </w:r>
          </w:p>
        </w:tc>
      </w:tr>
      <w:tr w:rsidR="00B64D32" w14:paraId="3088EDE7" w14:textId="77777777">
        <w:trPr>
          <w:jc w:val="center"/>
        </w:trPr>
        <w:tc>
          <w:tcPr>
            <w:tcW w:w="792" w:type="dxa"/>
          </w:tcPr>
          <w:p w14:paraId="3A5C5F4A" w14:textId="77777777" w:rsidR="00B64D32" w:rsidRDefault="00000000">
            <w:pPr>
              <w:spacing w:after="40" w:line="240" w:lineRule="auto"/>
            </w:pPr>
            <w:r>
              <w:rPr>
                <w:sz w:val="18"/>
              </w:rPr>
              <w:t>W</w:t>
            </w:r>
          </w:p>
        </w:tc>
        <w:tc>
          <w:tcPr>
            <w:tcW w:w="2088" w:type="dxa"/>
          </w:tcPr>
          <w:p w14:paraId="04C060B2" w14:textId="77777777" w:rsidR="00B64D32" w:rsidRDefault="00000000">
            <w:pPr>
              <w:spacing w:after="40" w:line="240" w:lineRule="auto"/>
            </w:pPr>
            <w:r>
              <w:rPr>
                <w:sz w:val="18"/>
              </w:rPr>
              <w:t>Data Link</w:t>
            </w:r>
          </w:p>
        </w:tc>
        <w:tc>
          <w:tcPr>
            <w:tcW w:w="6840" w:type="dxa"/>
          </w:tcPr>
          <w:p w14:paraId="634A32BA" w14:textId="77777777" w:rsidR="00B64D32" w:rsidRDefault="00000000">
            <w:pPr>
              <w:spacing w:after="40" w:line="240" w:lineRule="auto"/>
            </w:pPr>
            <w:r>
              <w:rPr>
                <w:sz w:val="18"/>
              </w:rPr>
              <w:t>Direct URL to the source data file at NCEI.</w:t>
            </w:r>
          </w:p>
        </w:tc>
      </w:tr>
      <w:tr w:rsidR="00B64D32" w14:paraId="6D2AFE14" w14:textId="77777777">
        <w:trPr>
          <w:jc w:val="center"/>
        </w:trPr>
        <w:tc>
          <w:tcPr>
            <w:tcW w:w="792" w:type="dxa"/>
            <w:shd w:val="clear" w:color="auto" w:fill="F2F2F2"/>
          </w:tcPr>
          <w:p w14:paraId="101B72B7" w14:textId="77777777" w:rsidR="00B64D32" w:rsidRDefault="00000000">
            <w:pPr>
              <w:spacing w:after="40" w:line="240" w:lineRule="auto"/>
            </w:pPr>
            <w:r>
              <w:rPr>
                <w:sz w:val="18"/>
              </w:rPr>
              <w:t>X</w:t>
            </w:r>
          </w:p>
        </w:tc>
        <w:tc>
          <w:tcPr>
            <w:tcW w:w="2088" w:type="dxa"/>
            <w:shd w:val="clear" w:color="auto" w:fill="F2F2F2"/>
          </w:tcPr>
          <w:p w14:paraId="080C8803" w14:textId="77777777" w:rsidR="00B64D32" w:rsidRDefault="00000000">
            <w:pPr>
              <w:spacing w:after="40" w:line="240" w:lineRule="auto"/>
            </w:pPr>
            <w:r>
              <w:rPr>
                <w:sz w:val="18"/>
              </w:rPr>
              <w:t>Chronology Info</w:t>
            </w:r>
          </w:p>
        </w:tc>
        <w:tc>
          <w:tcPr>
            <w:tcW w:w="6840" w:type="dxa"/>
            <w:shd w:val="clear" w:color="auto" w:fill="F2F2F2"/>
          </w:tcPr>
          <w:p w14:paraId="63CA9109" w14:textId="77777777" w:rsidR="00B64D32" w:rsidRDefault="00000000">
            <w:pPr>
              <w:spacing w:after="40" w:line="240" w:lineRule="auto"/>
            </w:pPr>
            <w:r>
              <w:rPr>
                <w:sz w:val="18"/>
              </w:rPr>
              <w:t>Age-model description quoted from the source: tie points, tuning target, calibration of radiocarbon dates.</w:t>
            </w:r>
          </w:p>
        </w:tc>
      </w:tr>
      <w:tr w:rsidR="00B64D32" w14:paraId="0D510D29" w14:textId="77777777">
        <w:trPr>
          <w:jc w:val="center"/>
        </w:trPr>
        <w:tc>
          <w:tcPr>
            <w:tcW w:w="792" w:type="dxa"/>
          </w:tcPr>
          <w:p w14:paraId="2562301E" w14:textId="77777777" w:rsidR="00B64D32" w:rsidRDefault="00000000">
            <w:pPr>
              <w:spacing w:after="40" w:line="240" w:lineRule="auto"/>
            </w:pPr>
            <w:r>
              <w:rPr>
                <w:sz w:val="18"/>
              </w:rPr>
              <w:t>Y</w:t>
            </w:r>
          </w:p>
        </w:tc>
        <w:tc>
          <w:tcPr>
            <w:tcW w:w="2088" w:type="dxa"/>
          </w:tcPr>
          <w:p w14:paraId="42DCA320" w14:textId="77777777" w:rsidR="00B64D32" w:rsidRDefault="00000000">
            <w:pPr>
              <w:spacing w:after="40" w:line="240" w:lineRule="auto"/>
            </w:pPr>
            <w:r>
              <w:rPr>
                <w:sz w:val="18"/>
              </w:rPr>
              <w:t>Method</w:t>
            </w:r>
          </w:p>
        </w:tc>
        <w:tc>
          <w:tcPr>
            <w:tcW w:w="6840" w:type="dxa"/>
          </w:tcPr>
          <w:p w14:paraId="256ACD41" w14:textId="77777777" w:rsidR="00B64D32" w:rsidRDefault="00000000">
            <w:pPr>
              <w:spacing w:after="40" w:line="240" w:lineRule="auto"/>
            </w:pPr>
            <w:r>
              <w:rPr>
                <w:sz w:val="18"/>
              </w:rPr>
              <w:t>The audit trail. Calibration used and alternatives available, proxy carrier species, seasonality, unit conversions, and every judgement call made about that core. Read this column before using a record.</w:t>
            </w:r>
          </w:p>
        </w:tc>
      </w:tr>
      <w:tr w:rsidR="00B64D32" w14:paraId="21FF450A" w14:textId="77777777">
        <w:trPr>
          <w:jc w:val="center"/>
        </w:trPr>
        <w:tc>
          <w:tcPr>
            <w:tcW w:w="792" w:type="dxa"/>
            <w:shd w:val="clear" w:color="auto" w:fill="F2F2F2"/>
          </w:tcPr>
          <w:p w14:paraId="79728980" w14:textId="77777777" w:rsidR="00B64D32" w:rsidRDefault="00000000">
            <w:pPr>
              <w:spacing w:after="40" w:line="240" w:lineRule="auto"/>
            </w:pPr>
            <w:r>
              <w:rPr>
                <w:sz w:val="18"/>
              </w:rPr>
              <w:t>Z</w:t>
            </w:r>
          </w:p>
        </w:tc>
        <w:tc>
          <w:tcPr>
            <w:tcW w:w="2088" w:type="dxa"/>
            <w:shd w:val="clear" w:color="auto" w:fill="F2F2F2"/>
          </w:tcPr>
          <w:p w14:paraId="3A11E8C3" w14:textId="77777777" w:rsidR="00B64D32" w:rsidRDefault="00000000">
            <w:pPr>
              <w:spacing w:after="40" w:line="240" w:lineRule="auto"/>
            </w:pPr>
            <w:r>
              <w:rPr>
                <w:sz w:val="18"/>
              </w:rPr>
              <w:t>Elevation (m)</w:t>
            </w:r>
          </w:p>
        </w:tc>
        <w:tc>
          <w:tcPr>
            <w:tcW w:w="6840" w:type="dxa"/>
            <w:shd w:val="clear" w:color="auto" w:fill="F2F2F2"/>
          </w:tcPr>
          <w:p w14:paraId="5C1B6505" w14:textId="77777777" w:rsidR="00B64D32" w:rsidRDefault="00000000">
            <w:pPr>
              <w:spacing w:after="40" w:line="240" w:lineRule="auto"/>
            </w:pPr>
            <w:r>
              <w:rPr>
                <w:sz w:val="18"/>
              </w:rPr>
              <w:t>Water depth as a negative number. NaN where the source does not state it.</w:t>
            </w:r>
          </w:p>
        </w:tc>
      </w:tr>
      <w:tr w:rsidR="00B64D32" w14:paraId="10AAC12F" w14:textId="77777777">
        <w:trPr>
          <w:jc w:val="center"/>
        </w:trPr>
        <w:tc>
          <w:tcPr>
            <w:tcW w:w="792" w:type="dxa"/>
          </w:tcPr>
          <w:p w14:paraId="59084A67" w14:textId="77777777" w:rsidR="00B64D32" w:rsidRDefault="00000000">
            <w:pPr>
              <w:spacing w:after="40" w:line="240" w:lineRule="auto"/>
            </w:pPr>
            <w:r>
              <w:rPr>
                <w:sz w:val="18"/>
              </w:rPr>
              <w:t>AA</w:t>
            </w:r>
          </w:p>
        </w:tc>
        <w:tc>
          <w:tcPr>
            <w:tcW w:w="2088" w:type="dxa"/>
          </w:tcPr>
          <w:p w14:paraId="2E1B2CFB" w14:textId="77777777" w:rsidR="00B64D32" w:rsidRDefault="00000000">
            <w:pPr>
              <w:spacing w:after="40" w:line="240" w:lineRule="auto"/>
            </w:pPr>
            <w:r>
              <w:rPr>
                <w:sz w:val="18"/>
              </w:rPr>
              <w:t>summer_or_averaged_signal</w:t>
            </w:r>
          </w:p>
        </w:tc>
        <w:tc>
          <w:tcPr>
            <w:tcW w:w="6840" w:type="dxa"/>
          </w:tcPr>
          <w:p w14:paraId="639971AC" w14:textId="77777777" w:rsidR="00B64D32" w:rsidRDefault="00000000">
            <w:pPr>
              <w:spacing w:after="40" w:line="240" w:lineRule="auto"/>
            </w:pPr>
            <w:r>
              <w:rPr>
                <w:sz w:val="18"/>
              </w:rPr>
              <w:t>Seasonality flag — see §5.1. Blank means an annual estimate. Row 2 only.</w:t>
            </w:r>
          </w:p>
        </w:tc>
      </w:tr>
      <w:tr w:rsidR="00B64D32" w14:paraId="5FC73C3D" w14:textId="77777777">
        <w:trPr>
          <w:jc w:val="center"/>
        </w:trPr>
        <w:tc>
          <w:tcPr>
            <w:tcW w:w="792" w:type="dxa"/>
            <w:shd w:val="clear" w:color="auto" w:fill="F2F2F2"/>
          </w:tcPr>
          <w:p w14:paraId="01C1D88F" w14:textId="77777777" w:rsidR="00B64D32" w:rsidRDefault="00000000">
            <w:pPr>
              <w:spacing w:after="40" w:line="240" w:lineRule="auto"/>
            </w:pPr>
            <w:r>
              <w:rPr>
                <w:sz w:val="18"/>
              </w:rPr>
              <w:t>AB</w:t>
            </w:r>
          </w:p>
        </w:tc>
        <w:tc>
          <w:tcPr>
            <w:tcW w:w="2088" w:type="dxa"/>
            <w:shd w:val="clear" w:color="auto" w:fill="F2F2F2"/>
          </w:tcPr>
          <w:p w14:paraId="049D8712" w14:textId="77777777" w:rsidR="00B64D32" w:rsidRDefault="00000000">
            <w:pPr>
              <w:spacing w:after="40" w:line="240" w:lineRule="auto"/>
            </w:pPr>
            <w:r>
              <w:rPr>
                <w:sz w:val="18"/>
              </w:rPr>
              <w:t>Matches existing core</w:t>
            </w:r>
          </w:p>
        </w:tc>
        <w:tc>
          <w:tcPr>
            <w:tcW w:w="6840" w:type="dxa"/>
            <w:shd w:val="clear" w:color="auto" w:fill="F2F2F2"/>
          </w:tcPr>
          <w:p w14:paraId="2A537BF5" w14:textId="77777777" w:rsidR="00B64D32" w:rsidRDefault="00000000">
            <w:pPr>
              <w:spacing w:after="40" w:line="240" w:lineRule="auto"/>
            </w:pPr>
            <w:r>
              <w:rPr>
                <w:sz w:val="18"/>
              </w:rPr>
              <w:t>Chronology workbook only. Records which Hoffman or previously mined core the tab duplicates.</w:t>
            </w:r>
          </w:p>
        </w:tc>
      </w:tr>
    </w:tbl>
    <w:p w14:paraId="795EEB57" w14:textId="77777777" w:rsidR="00B64D32" w:rsidRDefault="00B64D32">
      <w:pPr>
        <w:spacing w:after="80"/>
      </w:pPr>
    </w:p>
    <w:p w14:paraId="49775A1F" w14:textId="77777777" w:rsidR="00B64D32" w:rsidRDefault="00000000">
      <w:r>
        <w:rPr>
          <w:b/>
        </w:rPr>
        <w:t>Jerry's workbook</w:t>
      </w:r>
      <w:r>
        <w:t xml:space="preserve"> uses the same layout with column R (Age) empty by definition, and adds SSTwarm and SSTcold columns for the faunal records that report two seasons.</w:t>
      </w:r>
    </w:p>
    <w:p w14:paraId="02C9384C" w14:textId="77777777" w:rsidR="00B64D32" w:rsidRDefault="00000000">
      <w:r>
        <w:br w:type="page"/>
      </w:r>
    </w:p>
    <w:p w14:paraId="7C8177B3" w14:textId="77777777" w:rsidR="00B64D32" w:rsidRDefault="00000000">
      <w:pPr>
        <w:pStyle w:val="Heading1"/>
        <w:spacing w:before="320" w:after="120"/>
      </w:pPr>
      <w:r>
        <w:rPr>
          <w:rFonts w:ascii="Calibri" w:hAnsi="Calibri"/>
          <w:color w:val="1F3B5C"/>
          <w:sz w:val="30"/>
        </w:rPr>
        <w:lastRenderedPageBreak/>
        <w:t>5. Methodological decisions</w:t>
      </w:r>
    </w:p>
    <w:p w14:paraId="0DDA01CC" w14:textId="77777777" w:rsidR="00B64D32" w:rsidRDefault="00000000">
      <w:r>
        <w:t>Paleo-SST files are not uniform, and most of the work was deciding what a given column actually means. Every decision below is recorded per core in column Y; this section explains the reasoning once.</w:t>
      </w:r>
    </w:p>
    <w:p w14:paraId="7F83AB93" w14:textId="77777777" w:rsidR="00B64D32" w:rsidRDefault="00000000">
      <w:pPr>
        <w:pStyle w:val="Heading2"/>
        <w:spacing w:before="240" w:after="120"/>
      </w:pPr>
      <w:r>
        <w:rPr>
          <w:rFonts w:ascii="Calibri" w:hAnsi="Calibri"/>
          <w:color w:val="1F3B5C"/>
          <w:sz w:val="25"/>
        </w:rPr>
        <w:t>5.1  Seasonality: one annual number, not two seasonal ones</w:t>
      </w:r>
    </w:p>
    <w:p w14:paraId="795A16A4" w14:textId="77777777" w:rsidR="00B64D32" w:rsidRDefault="00000000">
      <w:r>
        <w:t>Faunal transfer functions typically report two seasons rather than an annual mean — commonly August and February, or JAS and JFM. The reconstruction target is annual-mean SST, so:</w:t>
      </w:r>
    </w:p>
    <w:p w14:paraId="10239588" w14:textId="77777777" w:rsidR="00B64D32" w:rsidRDefault="00000000">
      <w:pPr>
        <w:pStyle w:val="ListBullet"/>
        <w:spacing w:after="80"/>
      </w:pPr>
      <w:r>
        <w:t>Where both seasons exist, the value in column T is their arithmetic mean, and column AA reads “aug-feb averaged”.</w:t>
      </w:r>
    </w:p>
    <w:p w14:paraId="402C30F0" w14:textId="77777777" w:rsidR="00B64D32" w:rsidRDefault="00000000">
      <w:pPr>
        <w:pStyle w:val="ListBullet"/>
        <w:spacing w:after="80"/>
      </w:pPr>
      <w:r>
        <w:t>The individual seasonal values are deliberately NOT carried as extra columns. A sheet mixing annual and seasonal SST columns invites silent misuse, because a downstream script cannot tell which is which. Instead the source column names and the averaging rule are stated in column Y, and the seasonal values remain available in the source file under mined_txt/.</w:t>
      </w:r>
    </w:p>
    <w:p w14:paraId="7A5E394E" w14:textId="77777777" w:rsidR="00B64D32" w:rsidRDefault="00000000">
      <w:pPr>
        <w:pStyle w:val="ListBullet"/>
        <w:spacing w:after="80"/>
      </w:pPr>
      <w:r>
        <w:t>Where only a warm-season column exists, no annual mean can be formed. The value is kept and column AA reads “summer”. These records are expected to run warm relative to an annual reconstruction and should be excluded or offset-corrected before scoring.</w:t>
      </w:r>
    </w:p>
    <w:p w14:paraId="0BC9688A" w14:textId="77777777" w:rsidR="00B64D32" w:rsidRDefault="00000000">
      <w:pPr>
        <w:pStyle w:val="ListBullet"/>
        <w:spacing w:after="80"/>
      </w:pPr>
      <w:r>
        <w:t xml:space="preserve">Hemisphere matters for what “summer” means. </w:t>
      </w:r>
      <w:r>
        <w:rPr>
          <w:b/>
        </w:rPr>
        <w:t>SO136-111</w:t>
      </w:r>
      <w:r>
        <w:t xml:space="preserve"> and </w:t>
      </w:r>
      <w:r>
        <w:rPr>
          <w:b/>
        </w:rPr>
        <w:t>PS1778-5</w:t>
      </w:r>
      <w:r>
        <w:t xml:space="preserve"> report February and December–March temperatures respectively; in the Southern Ocean these are austral summer, not winter. Both are flagged “summer”, not “cold”.</w:t>
      </w:r>
    </w:p>
    <w:p w14:paraId="48BC2BB5" w14:textId="77777777" w:rsidR="00B64D32" w:rsidRDefault="00000000">
      <w:pPr>
        <w:pStyle w:val="ListBullet"/>
        <w:spacing w:after="80"/>
      </w:pPr>
      <w:r>
        <w:t>Cores currently flagged summer: U939, MD99-2331 (both proxies), PS1778-5, RS147-GC14 and SO136-111. MD04-2845 sat in this group until its JFM column was found; it is now an aug-feb average.</w:t>
      </w:r>
    </w:p>
    <w:p w14:paraId="75E593B8" w14:textId="77777777" w:rsidR="00B64D32" w:rsidRDefault="00000000">
      <w:pPr>
        <w:pStyle w:val="Heading2"/>
        <w:spacing w:before="240" w:after="120"/>
      </w:pPr>
      <w:r>
        <w:rPr>
          <w:rFonts w:ascii="Calibri" w:hAnsi="Calibri"/>
          <w:color w:val="1F3B5C"/>
          <w:sz w:val="25"/>
        </w:rPr>
        <w:t>5.2  Choosing the right SST column</w:t>
      </w:r>
    </w:p>
    <w:p w14:paraId="0360F94D" w14:textId="77777777" w:rsidR="00B64D32" w:rsidRDefault="00000000">
      <w:r>
        <w:t>A single file often carries several columns that all look like SST. The rules applied, in order:</w:t>
      </w:r>
    </w:p>
    <w:p w14:paraId="3A48B166" w14:textId="77777777" w:rsidR="00B64D32" w:rsidRDefault="00000000">
      <w:pPr>
        <w:pStyle w:val="ListBullet"/>
        <w:spacing w:after="80"/>
      </w:pPr>
      <w:r>
        <w:rPr>
          <w:b/>
        </w:rPr>
        <w:t xml:space="preserve">Central estimate, never a bound. </w:t>
      </w:r>
      <w:r>
        <w:t>Bayesian calibrations (BAYSPLINE, BAYSPAR) publish triplets such as sst_uk_low / sst_uk_med / sst_uk_high. The median is the SST; the bounds become the uncertainty. Taking a bound as the mean biases a record by 3–4 °C.</w:t>
      </w:r>
    </w:p>
    <w:p w14:paraId="1F9AC5B3" w14:textId="6C4EECB7" w:rsidR="00B64D32" w:rsidRDefault="00000000">
      <w:pPr>
        <w:pStyle w:val="ListBullet"/>
        <w:spacing w:after="80"/>
      </w:pPr>
      <w:r>
        <w:rPr>
          <w:b/>
        </w:rPr>
        <w:t>Corrected, not raw, whe</w:t>
      </w:r>
      <w:r w:rsidR="00742DE5">
        <w:rPr>
          <w:b/>
        </w:rPr>
        <w:t>n</w:t>
      </w:r>
      <w:r>
        <w:rPr>
          <w:b/>
        </w:rPr>
        <w:t xml:space="preserve"> the authors published a correction. </w:t>
      </w:r>
      <w:r>
        <w:t>ODP 847 and ODP 806B use the Mg/Ca column adjusted for secular variation in seawater Mg/Ca; MD01-2421 uses the bottom-temperature-corrected SST rather than the uncorrected δ18O-derived value.</w:t>
      </w:r>
    </w:p>
    <w:p w14:paraId="0F9F2D03" w14:textId="0177739C" w:rsidR="00B64D32" w:rsidRDefault="00000000">
      <w:pPr>
        <w:pStyle w:val="ListBullet"/>
        <w:spacing w:after="80"/>
      </w:pPr>
      <w:r>
        <w:rPr>
          <w:b/>
        </w:rPr>
        <w:t xml:space="preserve">One calibration, applied consistently. </w:t>
      </w:r>
      <w:r>
        <w:t>Where a study offers two calibrations — Prahl et al. (1988) versus Müller et al. (1998) in the Herbert et al. (2016) compilation — one is chosen for the whole compilation, here Prahl, so cores remain mutually comparable. The alternative is named in column Y so it can be swapped in.</w:t>
      </w:r>
    </w:p>
    <w:p w14:paraId="688E7C6B" w14:textId="77777777" w:rsidR="00B64D32" w:rsidRDefault="00000000">
      <w:pPr>
        <w:pStyle w:val="ListBullet"/>
        <w:spacing w:after="80"/>
      </w:pPr>
      <w:r>
        <w:rPr>
          <w:b/>
        </w:rPr>
        <w:t xml:space="preserve">Every unused SST column is named in column Y. </w:t>
      </w:r>
      <w:r>
        <w:t>If a reader disagrees with a choice, the alternative is one lookup away.</w:t>
      </w:r>
    </w:p>
    <w:p w14:paraId="3D47F4C8" w14:textId="77777777" w:rsidR="00B64D32" w:rsidRDefault="00000000">
      <w:pPr>
        <w:pStyle w:val="Heading2"/>
        <w:spacing w:before="240" w:after="120"/>
      </w:pPr>
      <w:r>
        <w:rPr>
          <w:rFonts w:ascii="Calibri" w:hAnsi="Calibri"/>
          <w:color w:val="1F3B5C"/>
          <w:sz w:val="25"/>
        </w:rPr>
        <w:t>5.3  Uncertainty: everything expressed as ±2sd</w:t>
      </w:r>
    </w:p>
    <w:p w14:paraId="0C866351" w14:textId="77777777" w:rsidR="00B64D32" w:rsidRDefault="00000000">
      <w:r>
        <w:t>Columns S and U must mean the same thing in every tab, because the RSOI weights each observation by its error variance. Sources report uncertainty in at least six different ways, harmonised as follows:</w:t>
      </w:r>
    </w:p>
    <w:tbl>
      <w:tblPr>
        <w:tblStyle w:val="TableGrid"/>
        <w:tblW w:w="0" w:type="auto"/>
        <w:jc w:val="center"/>
        <w:tblLayout w:type="fixed"/>
        <w:tblLook w:val="04A0" w:firstRow="1" w:lastRow="0" w:firstColumn="1" w:lastColumn="0" w:noHBand="0" w:noVBand="1"/>
      </w:tblPr>
      <w:tblGrid>
        <w:gridCol w:w="2808"/>
        <w:gridCol w:w="6912"/>
      </w:tblGrid>
      <w:tr w:rsidR="00B64D32" w14:paraId="73BD902B" w14:textId="77777777">
        <w:trPr>
          <w:jc w:val="center"/>
        </w:trPr>
        <w:tc>
          <w:tcPr>
            <w:tcW w:w="2808" w:type="dxa"/>
            <w:shd w:val="clear" w:color="auto" w:fill="1F3B5C"/>
          </w:tcPr>
          <w:p w14:paraId="1A9CD8EB" w14:textId="77777777" w:rsidR="00B64D32" w:rsidRDefault="00000000">
            <w:pPr>
              <w:spacing w:after="40"/>
            </w:pPr>
            <w:r>
              <w:rPr>
                <w:b/>
                <w:color w:val="FFFFFF"/>
                <w:sz w:val="18"/>
              </w:rPr>
              <w:t>Source reports</w:t>
            </w:r>
          </w:p>
        </w:tc>
        <w:tc>
          <w:tcPr>
            <w:tcW w:w="6912" w:type="dxa"/>
            <w:shd w:val="clear" w:color="auto" w:fill="1F3B5C"/>
          </w:tcPr>
          <w:p w14:paraId="0E3A7595" w14:textId="77777777" w:rsidR="00B64D32" w:rsidRDefault="00000000">
            <w:pPr>
              <w:spacing w:after="40"/>
            </w:pPr>
            <w:r>
              <w:rPr>
                <w:b/>
                <w:color w:val="FFFFFF"/>
                <w:sz w:val="18"/>
              </w:rPr>
              <w:t>Treatment</w:t>
            </w:r>
          </w:p>
        </w:tc>
      </w:tr>
      <w:tr w:rsidR="00B64D32" w14:paraId="547982FA" w14:textId="77777777">
        <w:trPr>
          <w:jc w:val="center"/>
        </w:trPr>
        <w:tc>
          <w:tcPr>
            <w:tcW w:w="2808" w:type="dxa"/>
          </w:tcPr>
          <w:p w14:paraId="4A50C6EB" w14:textId="77777777" w:rsidR="00B64D32" w:rsidRDefault="00000000">
            <w:pPr>
              <w:spacing w:after="40" w:line="240" w:lineRule="auto"/>
            </w:pPr>
            <w:r>
              <w:rPr>
                <w:sz w:val="18"/>
              </w:rPr>
              <w:t>An explicit 2sd or 95% column</w:t>
            </w:r>
          </w:p>
        </w:tc>
        <w:tc>
          <w:tcPr>
            <w:tcW w:w="6912" w:type="dxa"/>
          </w:tcPr>
          <w:p w14:paraId="17EC049C" w14:textId="77777777" w:rsidR="00B64D32" w:rsidRDefault="00000000">
            <w:pPr>
              <w:spacing w:after="40" w:line="240" w:lineRule="auto"/>
            </w:pPr>
            <w:r>
              <w:rPr>
                <w:sz w:val="18"/>
              </w:rPr>
              <w:t>Used as published.</w:t>
            </w:r>
          </w:p>
        </w:tc>
      </w:tr>
      <w:tr w:rsidR="00B64D32" w14:paraId="0AAAF65B" w14:textId="77777777">
        <w:trPr>
          <w:jc w:val="center"/>
        </w:trPr>
        <w:tc>
          <w:tcPr>
            <w:tcW w:w="2808" w:type="dxa"/>
            <w:shd w:val="clear" w:color="auto" w:fill="F2F2F2"/>
          </w:tcPr>
          <w:p w14:paraId="54A29466" w14:textId="77777777" w:rsidR="00B64D32" w:rsidRDefault="00000000">
            <w:pPr>
              <w:spacing w:after="40" w:line="240" w:lineRule="auto"/>
            </w:pPr>
            <w:r>
              <w:rPr>
                <w:sz w:val="18"/>
              </w:rPr>
              <w:lastRenderedPageBreak/>
              <w:t>A 1sd or unlabelled sd column</w:t>
            </w:r>
          </w:p>
        </w:tc>
        <w:tc>
          <w:tcPr>
            <w:tcW w:w="6912" w:type="dxa"/>
            <w:shd w:val="clear" w:color="auto" w:fill="F2F2F2"/>
          </w:tcPr>
          <w:p w14:paraId="7C23F640" w14:textId="77777777" w:rsidR="00B64D32" w:rsidRDefault="00000000">
            <w:pPr>
              <w:spacing w:after="40" w:line="240" w:lineRule="auto"/>
            </w:pPr>
            <w:r>
              <w:rPr>
                <w:sz w:val="18"/>
              </w:rPr>
              <w:t>Doubled. An unlabelled error column is assumed to be 1sd, which is the common convention; the assumption is stated in column Y.</w:t>
            </w:r>
          </w:p>
        </w:tc>
      </w:tr>
      <w:tr w:rsidR="00B64D32" w14:paraId="6FBCD330" w14:textId="77777777">
        <w:trPr>
          <w:jc w:val="center"/>
        </w:trPr>
        <w:tc>
          <w:tcPr>
            <w:tcW w:w="2808" w:type="dxa"/>
          </w:tcPr>
          <w:p w14:paraId="5BB9B356" w14:textId="77777777" w:rsidR="00B64D32" w:rsidRDefault="00000000">
            <w:pPr>
              <w:spacing w:after="40" w:line="240" w:lineRule="auto"/>
            </w:pPr>
            <w:r>
              <w:rPr>
                <w:sz w:val="18"/>
              </w:rPr>
              <w:t>A 90% credible interval (Bayesian calibration)</w:t>
            </w:r>
          </w:p>
        </w:tc>
        <w:tc>
          <w:tcPr>
            <w:tcW w:w="6912" w:type="dxa"/>
          </w:tcPr>
          <w:p w14:paraId="7E21BF82" w14:textId="77777777" w:rsidR="00B64D32" w:rsidRDefault="00000000">
            <w:pPr>
              <w:spacing w:after="40" w:line="240" w:lineRule="auto"/>
            </w:pPr>
            <w:r>
              <w:rPr>
                <w:sz w:val="18"/>
              </w:rPr>
              <w:t>Rescaled to 2sd: each half-width about the median is multiplied by 2/1.645 = 1.2159. Applied to each side independently, so the asymmetry of the Bayesian posterior is preserved rather than forced symmetric. Applies to IODP U1482 (both proxies), MD98-2152 and VM19-193.</w:t>
            </w:r>
          </w:p>
        </w:tc>
      </w:tr>
      <w:tr w:rsidR="00B64D32" w14:paraId="0EDFCF19" w14:textId="77777777">
        <w:trPr>
          <w:jc w:val="center"/>
        </w:trPr>
        <w:tc>
          <w:tcPr>
            <w:tcW w:w="2808" w:type="dxa"/>
            <w:shd w:val="clear" w:color="auto" w:fill="F2F2F2"/>
          </w:tcPr>
          <w:p w14:paraId="39FEC71B" w14:textId="77777777" w:rsidR="00B64D32" w:rsidRDefault="00000000">
            <w:pPr>
              <w:spacing w:after="40" w:line="240" w:lineRule="auto"/>
            </w:pPr>
            <w:r>
              <w:rPr>
                <w:sz w:val="18"/>
              </w:rPr>
              <w:t>A free-text statement only</w:t>
            </w:r>
          </w:p>
        </w:tc>
        <w:tc>
          <w:tcPr>
            <w:tcW w:w="6912" w:type="dxa"/>
            <w:shd w:val="clear" w:color="auto" w:fill="F2F2F2"/>
          </w:tcPr>
          <w:p w14:paraId="7E293B95" w14:textId="77777777" w:rsidR="00B64D32" w:rsidRDefault="00000000">
            <w:pPr>
              <w:spacing w:after="40" w:line="240" w:lineRule="auto"/>
            </w:pPr>
            <w:r>
              <w:rPr>
                <w:sz w:val="18"/>
              </w:rPr>
              <w:t>Parsed and used — RS147-GC14 (“SSTs from Uk'37 have an error of ±1.5 °C”) and LPAZ-21P (stated 0.15 °C precision, giving ±0.3 °C at 2sd).</w:t>
            </w:r>
          </w:p>
        </w:tc>
      </w:tr>
      <w:tr w:rsidR="00B64D32" w14:paraId="214503CC" w14:textId="77777777">
        <w:trPr>
          <w:jc w:val="center"/>
        </w:trPr>
        <w:tc>
          <w:tcPr>
            <w:tcW w:w="2808" w:type="dxa"/>
            <w:shd w:val="clear" w:color="auto" w:fill="F2F2F2"/>
          </w:tcPr>
          <w:p w14:paraId="6A5E0F06" w14:textId="77777777" w:rsidR="00B64D32" w:rsidRDefault="00000000">
            <w:pPr>
              <w:spacing w:after="40" w:line="240" w:lineRule="auto"/>
            </w:pPr>
            <w:r>
              <w:rPr>
                <w:sz w:val="18"/>
              </w:rPr>
              <w:t>Nothing</w:t>
            </w:r>
          </w:p>
        </w:tc>
        <w:tc>
          <w:tcPr>
            <w:tcW w:w="6912" w:type="dxa"/>
            <w:shd w:val="clear" w:color="auto" w:fill="F2F2F2"/>
          </w:tcPr>
          <w:p w14:paraId="35733F02" w14:textId="73ED6876" w:rsidR="00B64D32" w:rsidRDefault="00000000">
            <w:pPr>
              <w:spacing w:after="40" w:line="240" w:lineRule="auto"/>
            </w:pPr>
            <w:r>
              <w:rPr>
                <w:sz w:val="18"/>
              </w:rPr>
              <w:t>S and U are left blank.</w:t>
            </w:r>
          </w:p>
        </w:tc>
      </w:tr>
    </w:tbl>
    <w:p w14:paraId="6FAF7B4E" w14:textId="77777777" w:rsidR="00B64D32" w:rsidRDefault="00B64D32">
      <w:pPr>
        <w:spacing w:after="80"/>
      </w:pPr>
    </w:p>
    <w:p w14:paraId="3A1A4324" w14:textId="63C5BD15" w:rsidR="00B64D32" w:rsidRDefault="00000000">
      <w:r>
        <w:rPr>
          <w:b/>
        </w:rPr>
        <w:t xml:space="preserve">The error column must belong to SST. </w:t>
      </w:r>
      <w:r>
        <w:t>Age uncertainties, proxy-measurement errors and δ18O errors are never used as SST errors.</w:t>
      </w:r>
    </w:p>
    <w:p w14:paraId="1C8E93D2" w14:textId="77777777" w:rsidR="00B64D32" w:rsidRDefault="00000000">
      <w:pPr>
        <w:pStyle w:val="Heading2"/>
        <w:spacing w:before="240" w:after="120"/>
      </w:pPr>
      <w:proofErr w:type="gramStart"/>
      <w:r>
        <w:rPr>
          <w:rFonts w:ascii="Calibri" w:hAnsi="Calibri"/>
          <w:color w:val="1F3B5C"/>
          <w:sz w:val="25"/>
        </w:rPr>
        <w:t>5.4  Unit</w:t>
      </w:r>
      <w:proofErr w:type="gramEnd"/>
      <w:r>
        <w:rPr>
          <w:rFonts w:ascii="Calibri" w:hAnsi="Calibri"/>
          <w:color w:val="1F3B5C"/>
          <w:sz w:val="25"/>
        </w:rPr>
        <w:t xml:space="preserve"> harmonisation</w:t>
      </w:r>
    </w:p>
    <w:p w14:paraId="24C9ADAB" w14:textId="77777777" w:rsidR="00B64D32" w:rsidRDefault="00000000">
      <w:pPr>
        <w:pStyle w:val="ListBullet"/>
        <w:spacing w:after="80"/>
      </w:pPr>
      <w:r>
        <w:t>Age is always years BP. Sources in ka are multiplied by 1,000 and in Ma by 1,000,000. Unit inference is anchored on a physical check: a column expressed in years must reach at least 115,000 to touch the study window, so a maximum below that cannot be years. Before this rule was imposed, a record spanning 1,543 ka was silently read as 1,543 years.</w:t>
      </w:r>
    </w:p>
    <w:p w14:paraId="68182C72" w14:textId="77777777" w:rsidR="00B64D32" w:rsidRDefault="00000000">
      <w:pPr>
        <w:pStyle w:val="ListBullet"/>
        <w:spacing w:after="80"/>
      </w:pPr>
      <w:r>
        <w:t>Depth is always centimetres. Columns labelled mbsf, mcd or metres are multiplied by 100. Where a file's own unit label contradicts its values, the values and the core-section notation win, and the conflict is recorded in column Y (ODP 1014A).</w:t>
      </w:r>
    </w:p>
    <w:p w14:paraId="026DFB84" w14:textId="52F00A83" w:rsidR="00B64D32" w:rsidRDefault="00000000">
      <w:pPr>
        <w:pStyle w:val="ListBullet"/>
        <w:spacing w:after="80"/>
      </w:pPr>
      <w:r>
        <w:t>Temperature is always °C, and values are accepted only within −5 to +40 °C. The lower bound is deliberately below 0 °C.</w:t>
      </w:r>
    </w:p>
    <w:p w14:paraId="5056B239" w14:textId="5A27DA8C" w:rsidR="00B64D32" w:rsidRDefault="00000000">
      <w:pPr>
        <w:pStyle w:val="ListBullet"/>
        <w:spacing w:after="80"/>
      </w:pPr>
      <w:r>
        <w:t>−999, −9999, −99.9 and 999 are treated as missing</w:t>
      </w:r>
      <w:r w:rsidR="00312F67">
        <w:t xml:space="preserve"> values.</w:t>
      </w:r>
    </w:p>
    <w:p w14:paraId="29000230" w14:textId="77777777" w:rsidR="00B64D32" w:rsidRDefault="00000000">
      <w:pPr>
        <w:pStyle w:val="Heading2"/>
        <w:spacing w:before="240" w:after="120"/>
      </w:pPr>
      <w:proofErr w:type="gramStart"/>
      <w:r>
        <w:rPr>
          <w:rFonts w:ascii="Calibri" w:hAnsi="Calibri"/>
          <w:color w:val="1F3B5C"/>
          <w:sz w:val="25"/>
        </w:rPr>
        <w:t>5.5  Deciding</w:t>
      </w:r>
      <w:proofErr w:type="gramEnd"/>
      <w:r>
        <w:rPr>
          <w:rFonts w:ascii="Calibri" w:hAnsi="Calibri"/>
          <w:color w:val="1F3B5C"/>
          <w:sz w:val="25"/>
        </w:rPr>
        <w:t xml:space="preserve"> what counts as a new core</w:t>
      </w:r>
    </w:p>
    <w:p w14:paraId="0060AEE1" w14:textId="77777777" w:rsidR="00B64D32" w:rsidRDefault="00000000">
      <w:r>
        <w:t>A record only tests the reconstruction if it is genuinely absent from the input. Duplicate detection uses two independent keys, because either alone fails:</w:t>
      </w:r>
    </w:p>
    <w:p w14:paraId="18218D23" w14:textId="77777777" w:rsidR="00B64D32" w:rsidRDefault="00000000">
      <w:pPr>
        <w:pStyle w:val="ListBullet"/>
        <w:spacing w:after="80"/>
      </w:pPr>
      <w:r>
        <w:rPr>
          <w:b/>
        </w:rPr>
        <w:t xml:space="preserve">By 1°×1° grid cell </w:t>
      </w:r>
      <w:r>
        <w:t xml:space="preserve">(floor(x)+0.5) </w:t>
      </w:r>
      <w:r>
        <w:rPr>
          <w:b/>
        </w:rPr>
        <w:t>and by normalised core ID</w:t>
      </w:r>
      <w:r>
        <w:t>. Grid alone is insufficient: RC13-110 and NH22P were nearly missed because the published and NCEI coordinates straddle a cell boundary.</w:t>
      </w:r>
    </w:p>
    <w:p w14:paraId="5A302F50" w14:textId="77777777" w:rsidR="00B64D32" w:rsidRDefault="00000000">
      <w:pPr>
        <w:pStyle w:val="ListBullet"/>
        <w:spacing w:after="80"/>
      </w:pPr>
      <w:r>
        <w:rPr>
          <w:b/>
        </w:rPr>
        <w:t xml:space="preserve">Same cell does not mean same core. </w:t>
      </w:r>
      <w:r>
        <w:t>Of 43 grid matches against Hoffman, several are genuine neighbouring sites — NA87-25 versus ODP 980, MD95-2036 versus KNR191-CDH19, MD94-102 versus RC11-120, V34-88 versus ODP 722. The ID is always checked before a record is called a duplicate.</w:t>
      </w:r>
    </w:p>
    <w:p w14:paraId="0593EFBB" w14:textId="77777777" w:rsidR="00B64D32" w:rsidRDefault="00000000">
      <w:pPr>
        <w:pStyle w:val="ListBullet"/>
        <w:spacing w:after="80"/>
      </w:pPr>
      <w:r>
        <w:t>Confirmed duplicates go to same_core_different_chronology.xlsx rather than being discarded. Where a duplicate extends past 130 ka it is kept, because that means Hoffman truncated the record rather than the record being redundant. Where two versions cover non-overlapping ages they are merged, with the merge explained in column Y.</w:t>
      </w:r>
    </w:p>
    <w:p w14:paraId="1760928E" w14:textId="77777777" w:rsidR="00B64D32" w:rsidRDefault="00000000">
      <w:pPr>
        <w:pStyle w:val="Heading2"/>
        <w:spacing w:before="240" w:after="120"/>
      </w:pPr>
      <w:r>
        <w:rPr>
          <w:rFonts w:ascii="Calibri" w:hAnsi="Calibri"/>
          <w:color w:val="1F3B5C"/>
          <w:sz w:val="25"/>
        </w:rPr>
        <w:t>5.6  Sparse records are kept, not silently dropped</w:t>
      </w:r>
    </w:p>
    <w:p w14:paraId="6EE31F36" w14:textId="77777777" w:rsidR="00B64D32" w:rsidRDefault="00000000">
      <w:r>
        <w:t>Records with fewer than five points in the window are retained and flagged rather than rejected. In most cases the ages are well sampled and only some samples lack a proxy-to-SST conversion, so the record is thin rather than unreliable. Retained on this basis: Q200, R657, U938, ODP 847, PS1778-5, RS147-GC14, E45-29, E49-17, E49-18, E49-21 and DSDP 593. A few points from an under-sampled basin are worth more to a global reconstruction than a dense record from a well-covered one.</w:t>
      </w:r>
    </w:p>
    <w:p w14:paraId="1A313B5A" w14:textId="77777777" w:rsidR="00B64D32" w:rsidRDefault="00000000">
      <w:pPr>
        <w:pStyle w:val="Heading2"/>
        <w:spacing w:before="240" w:after="120"/>
      </w:pPr>
      <w:r>
        <w:rPr>
          <w:rFonts w:ascii="Calibri" w:hAnsi="Calibri"/>
          <w:color w:val="1F3B5C"/>
          <w:sz w:val="25"/>
        </w:rPr>
        <w:lastRenderedPageBreak/>
        <w:t>5.7  What was rejected, and why</w:t>
      </w:r>
    </w:p>
    <w:tbl>
      <w:tblPr>
        <w:tblStyle w:val="TableGrid"/>
        <w:tblW w:w="0" w:type="auto"/>
        <w:jc w:val="center"/>
        <w:tblLayout w:type="fixed"/>
        <w:tblLook w:val="04A0" w:firstRow="1" w:lastRow="0" w:firstColumn="1" w:lastColumn="0" w:noHBand="0" w:noVBand="1"/>
      </w:tblPr>
      <w:tblGrid>
        <w:gridCol w:w="4824"/>
        <w:gridCol w:w="4896"/>
      </w:tblGrid>
      <w:tr w:rsidR="00B64D32" w14:paraId="2040E66F" w14:textId="77777777">
        <w:trPr>
          <w:jc w:val="center"/>
        </w:trPr>
        <w:tc>
          <w:tcPr>
            <w:tcW w:w="4824" w:type="dxa"/>
            <w:shd w:val="clear" w:color="auto" w:fill="1F3B5C"/>
          </w:tcPr>
          <w:p w14:paraId="6DBEB25A" w14:textId="77777777" w:rsidR="00B64D32" w:rsidRDefault="00000000">
            <w:pPr>
              <w:spacing w:after="40"/>
            </w:pPr>
            <w:r>
              <w:rPr>
                <w:b/>
                <w:color w:val="FFFFFF"/>
                <w:sz w:val="18"/>
              </w:rPr>
              <w:t>Reason</w:t>
            </w:r>
          </w:p>
        </w:tc>
        <w:tc>
          <w:tcPr>
            <w:tcW w:w="4896" w:type="dxa"/>
            <w:shd w:val="clear" w:color="auto" w:fill="1F3B5C"/>
          </w:tcPr>
          <w:p w14:paraId="47CD0B8C" w14:textId="77777777" w:rsidR="00B64D32" w:rsidRDefault="00000000">
            <w:pPr>
              <w:spacing w:after="40"/>
            </w:pPr>
            <w:r>
              <w:rPr>
                <w:b/>
                <w:color w:val="FFFFFF"/>
                <w:sz w:val="18"/>
              </w:rPr>
              <w:t>Cores</w:t>
            </w:r>
          </w:p>
        </w:tc>
      </w:tr>
      <w:tr w:rsidR="00B64D32" w14:paraId="35E488DD" w14:textId="77777777">
        <w:trPr>
          <w:jc w:val="center"/>
        </w:trPr>
        <w:tc>
          <w:tcPr>
            <w:tcW w:w="4824" w:type="dxa"/>
          </w:tcPr>
          <w:p w14:paraId="74D4EB5D" w14:textId="77777777" w:rsidR="00B64D32" w:rsidRDefault="00000000">
            <w:pPr>
              <w:spacing w:after="40" w:line="240" w:lineRule="auto"/>
            </w:pPr>
            <w:r>
              <w:rPr>
                <w:sz w:val="18"/>
              </w:rPr>
              <w:t>Record spans 10–20 Myr, so the depth–age model is too loosely constrained to place a sample within the LIG</w:t>
            </w:r>
          </w:p>
        </w:tc>
        <w:tc>
          <w:tcPr>
            <w:tcW w:w="4896" w:type="dxa"/>
          </w:tcPr>
          <w:p w14:paraId="27565416" w14:textId="77777777" w:rsidR="00B64D32" w:rsidRDefault="00000000">
            <w:pPr>
              <w:spacing w:after="40" w:line="240" w:lineRule="auto"/>
            </w:pPr>
            <w:r>
              <w:rPr>
                <w:sz w:val="18"/>
              </w:rPr>
              <w:t>DSDP 588, ODP 1021, ODP 1088, ODP 1208, ODP 1010, ODP 883, ODP 884</w:t>
            </w:r>
          </w:p>
        </w:tc>
      </w:tr>
      <w:tr w:rsidR="00B64D32" w14:paraId="53B81B8B" w14:textId="77777777">
        <w:trPr>
          <w:jc w:val="center"/>
        </w:trPr>
        <w:tc>
          <w:tcPr>
            <w:tcW w:w="4824" w:type="dxa"/>
            <w:shd w:val="clear" w:color="auto" w:fill="F2F2F2"/>
          </w:tcPr>
          <w:p w14:paraId="1B635AF5" w14:textId="77777777" w:rsidR="00B64D32" w:rsidRDefault="00000000">
            <w:pPr>
              <w:spacing w:after="40" w:line="240" w:lineRule="auto"/>
            </w:pPr>
            <w:r>
              <w:rPr>
                <w:sz w:val="18"/>
              </w:rPr>
              <w:t>Interval-average product: one value assigned to a time bin, with no one-to-one age–SST correspondence</w:t>
            </w:r>
          </w:p>
        </w:tc>
        <w:tc>
          <w:tcPr>
            <w:tcW w:w="4896" w:type="dxa"/>
            <w:shd w:val="clear" w:color="auto" w:fill="F2F2F2"/>
          </w:tcPr>
          <w:p w14:paraId="4DA52638" w14:textId="77777777" w:rsidR="00B64D32" w:rsidRDefault="00000000">
            <w:pPr>
              <w:spacing w:after="40" w:line="240" w:lineRule="auto"/>
            </w:pPr>
            <w:r>
              <w:rPr>
                <w:sz w:val="18"/>
              </w:rPr>
              <w:t>Turney et al. (2021), Rustic et al. (2020)</w:t>
            </w:r>
          </w:p>
        </w:tc>
      </w:tr>
      <w:tr w:rsidR="00B64D32" w14:paraId="3ABB4880" w14:textId="77777777">
        <w:trPr>
          <w:jc w:val="center"/>
        </w:trPr>
        <w:tc>
          <w:tcPr>
            <w:tcW w:w="4824" w:type="dxa"/>
            <w:shd w:val="clear" w:color="auto" w:fill="F2F2F2"/>
          </w:tcPr>
          <w:p w14:paraId="5AA9A0B6" w14:textId="77777777" w:rsidR="00B64D32" w:rsidRDefault="00000000">
            <w:pPr>
              <w:spacing w:after="40" w:line="240" w:lineRule="auto"/>
            </w:pPr>
            <w:r>
              <w:rPr>
                <w:sz w:val="18"/>
              </w:rPr>
              <w:t>Age model ambiguous and sampling too sparse across the window</w:t>
            </w:r>
          </w:p>
        </w:tc>
        <w:tc>
          <w:tcPr>
            <w:tcW w:w="4896" w:type="dxa"/>
            <w:shd w:val="clear" w:color="auto" w:fill="F2F2F2"/>
          </w:tcPr>
          <w:p w14:paraId="38875456" w14:textId="77777777" w:rsidR="00B64D32" w:rsidRDefault="00000000">
            <w:pPr>
              <w:spacing w:after="40" w:line="240" w:lineRule="auto"/>
            </w:pPr>
            <w:r>
              <w:rPr>
                <w:sz w:val="18"/>
              </w:rPr>
              <w:t>ODP 806 (two conflicting age models, two in-window samples)</w:t>
            </w:r>
          </w:p>
        </w:tc>
      </w:tr>
      <w:tr w:rsidR="00B64D32" w14:paraId="2D7FED16" w14:textId="77777777">
        <w:trPr>
          <w:jc w:val="center"/>
        </w:trPr>
        <w:tc>
          <w:tcPr>
            <w:tcW w:w="4824" w:type="dxa"/>
          </w:tcPr>
          <w:p w14:paraId="3DD9277F" w14:textId="77777777" w:rsidR="00B64D32" w:rsidRDefault="00000000">
            <w:pPr>
              <w:spacing w:after="40" w:line="240" w:lineRule="auto"/>
            </w:pPr>
            <w:r>
              <w:rPr>
                <w:sz w:val="18"/>
              </w:rPr>
              <w:t>Source header not interpretable; deferred pending the original publication</w:t>
            </w:r>
          </w:p>
        </w:tc>
        <w:tc>
          <w:tcPr>
            <w:tcW w:w="4896" w:type="dxa"/>
          </w:tcPr>
          <w:p w14:paraId="4ECD1A8A" w14:textId="77777777" w:rsidR="00B64D32" w:rsidRDefault="00000000">
            <w:pPr>
              <w:spacing w:after="40" w:line="240" w:lineRule="auto"/>
            </w:pPr>
            <w:r>
              <w:rPr>
                <w:sz w:val="18"/>
              </w:rPr>
              <w:t>ODP 980 (Oppo et al. 2006)</w:t>
            </w:r>
          </w:p>
        </w:tc>
      </w:tr>
      <w:tr w:rsidR="00B64D32" w14:paraId="31ECC297" w14:textId="77777777">
        <w:trPr>
          <w:jc w:val="center"/>
        </w:trPr>
        <w:tc>
          <w:tcPr>
            <w:tcW w:w="4824" w:type="dxa"/>
            <w:shd w:val="clear" w:color="auto" w:fill="F2F2F2"/>
          </w:tcPr>
          <w:p w14:paraId="1FB72D60" w14:textId="77777777" w:rsidR="00B64D32" w:rsidRDefault="00000000">
            <w:pPr>
              <w:spacing w:after="40" w:line="240" w:lineRule="auto"/>
            </w:pPr>
            <w:r>
              <w:rPr>
                <w:sz w:val="18"/>
              </w:rPr>
              <w:t>Single in-window sample</w:t>
            </w:r>
          </w:p>
        </w:tc>
        <w:tc>
          <w:tcPr>
            <w:tcW w:w="4896" w:type="dxa"/>
            <w:shd w:val="clear" w:color="auto" w:fill="F2F2F2"/>
          </w:tcPr>
          <w:p w14:paraId="5154812F" w14:textId="77777777" w:rsidR="00B64D32" w:rsidRDefault="00000000">
            <w:pPr>
              <w:spacing w:after="40" w:line="240" w:lineRule="auto"/>
            </w:pPr>
            <w:r>
              <w:rPr>
                <w:sz w:val="18"/>
              </w:rPr>
              <w:t>E49-23</w:t>
            </w:r>
          </w:p>
        </w:tc>
      </w:tr>
      <w:tr w:rsidR="00B64D32" w14:paraId="30D8A6FF" w14:textId="77777777">
        <w:trPr>
          <w:jc w:val="center"/>
        </w:trPr>
        <w:tc>
          <w:tcPr>
            <w:tcW w:w="4824" w:type="dxa"/>
          </w:tcPr>
          <w:p w14:paraId="62F1DE84" w14:textId="77777777" w:rsidR="00B64D32" w:rsidRDefault="00000000">
            <w:pPr>
              <w:spacing w:after="40" w:line="240" w:lineRule="auto"/>
            </w:pPr>
            <w:r>
              <w:rPr>
                <w:sz w:val="18"/>
              </w:rPr>
              <w:t>SST field blank in every in-window row</w:t>
            </w:r>
          </w:p>
        </w:tc>
        <w:tc>
          <w:tcPr>
            <w:tcW w:w="4896" w:type="dxa"/>
          </w:tcPr>
          <w:p w14:paraId="73F2489D" w14:textId="77777777" w:rsidR="00B64D32" w:rsidRDefault="00000000">
            <w:pPr>
              <w:spacing w:after="40" w:line="240" w:lineRule="auto"/>
            </w:pPr>
            <w:r>
              <w:rPr>
                <w:sz w:val="18"/>
              </w:rPr>
              <w:t>MD97-2141</w:t>
            </w:r>
          </w:p>
        </w:tc>
      </w:tr>
    </w:tbl>
    <w:p w14:paraId="028B5723" w14:textId="77777777" w:rsidR="00B64D32" w:rsidRDefault="00B64D32">
      <w:pPr>
        <w:spacing w:after="80"/>
      </w:pPr>
    </w:p>
    <w:p w14:paraId="369A8CAB" w14:textId="77777777" w:rsidR="00B64D32" w:rsidRDefault="00000000">
      <w:r>
        <w:t>Interval-average products are excluded on principle rather than convenience: a value representing “the early-LIG maximum” has no timestamp, so it cannot be compared against a reconstruction that resolves 0.1 ka steps.</w:t>
      </w:r>
    </w:p>
    <w:p w14:paraId="62134361" w14:textId="77777777" w:rsidR="00B64D32" w:rsidRDefault="00000000">
      <w:pPr>
        <w:pStyle w:val="Heading2"/>
        <w:spacing w:before="240" w:after="120"/>
      </w:pPr>
      <w:r>
        <w:rPr>
          <w:rFonts w:ascii="Calibri" w:hAnsi="Calibri"/>
          <w:color w:val="1F3B5C"/>
          <w:sz w:val="25"/>
        </w:rPr>
        <w:t>5.8  Provenance and reproducibility</w:t>
      </w:r>
    </w:p>
    <w:p w14:paraId="180CC71E" w14:textId="77777777" w:rsidR="00B64D32" w:rsidRDefault="00000000">
      <w:pPr>
        <w:pStyle w:val="ListBullet"/>
        <w:spacing w:after="80"/>
      </w:pPr>
      <w:r>
        <w:t>The search covered 122 NCEI studies and 485 data files, of which 191 were downloaded and parsed; all are in mined_txt/.</w:t>
      </w:r>
    </w:p>
    <w:p w14:paraId="3D3F8C6F" w14:textId="77777777" w:rsidR="00B64D32" w:rsidRDefault="00000000">
      <w:pPr>
        <w:pStyle w:val="ListBullet"/>
        <w:spacing w:after="80"/>
      </w:pPr>
      <w:r>
        <w:t>Every tab records its source URL (column W) and its parsing decisions (column Y). Nothing in the spreadsheets is untraceable.</w:t>
      </w:r>
    </w:p>
    <w:p w14:paraId="49FB638D" w14:textId="5A64E6CA" w:rsidR="00B64D32" w:rsidRDefault="00000000">
      <w:pPr>
        <w:pStyle w:val="ListBullet"/>
        <w:spacing w:after="80"/>
      </w:pPr>
      <w:r>
        <w:t xml:space="preserve">Where a source file had to be edited by hand to make it machine-readable, the original is preserved alongside it (for example </w:t>
      </w:r>
      <w:r w:rsidR="00F3777D">
        <w:t xml:space="preserve">for </w:t>
      </w:r>
      <w:r>
        <w:t>v28_14.sst.txt) and the edit is described in column Y.</w:t>
      </w:r>
    </w:p>
    <w:p w14:paraId="4C270146" w14:textId="02DBB773" w:rsidR="00B64D32" w:rsidRDefault="00000000">
      <w:pPr>
        <w:pStyle w:val="ListBullet"/>
        <w:spacing w:after="80"/>
      </w:pPr>
      <w:r>
        <w:t>Coordinate sanity was checked against the basin named in each study.</w:t>
      </w:r>
    </w:p>
    <w:p w14:paraId="0F68A73C" w14:textId="77777777" w:rsidR="00B64D32" w:rsidRDefault="00000000">
      <w:r>
        <w:br w:type="page"/>
      </w:r>
    </w:p>
    <w:p w14:paraId="3CE4633E" w14:textId="77777777" w:rsidR="00B64D32" w:rsidRDefault="00000000">
      <w:pPr>
        <w:pStyle w:val="Heading1"/>
        <w:spacing w:before="320" w:after="120"/>
      </w:pPr>
      <w:r>
        <w:rPr>
          <w:rFonts w:ascii="Calibri" w:hAnsi="Calibri"/>
          <w:color w:val="1F3B5C"/>
          <w:sz w:val="30"/>
        </w:rPr>
        <w:lastRenderedPageBreak/>
        <w:t>6. Caveats before you use these data</w:t>
      </w:r>
    </w:p>
    <w:p w14:paraId="20C00F14" w14:textId="77777777" w:rsidR="00B64D32" w:rsidRDefault="00000000">
      <w:pPr>
        <w:pStyle w:val="ListBullet"/>
        <w:spacing w:after="80"/>
      </w:pPr>
      <w:r>
        <w:rPr>
          <w:b/>
        </w:rPr>
        <w:t xml:space="preserve">Only about 18% of the new data points carry a 2sd uncertainty. </w:t>
      </w:r>
      <w:r>
        <w:t>Most NCEI files publish no error at all. This matters mechanically: in the RSOI a NaN sigma gives zero weight and the site is silently dropped at that timestep. A policy — for example a proxy-typical sigma of roughly ±1.5 °C for UK'37 and ±1.2 °C for Mg/Ca — must be agreed before these records enter the reconstruction, and the choice will affect the result.</w:t>
      </w:r>
    </w:p>
    <w:p w14:paraId="333BEB40" w14:textId="37F31A9E" w:rsidR="00F3777D" w:rsidRDefault="00F3777D" w:rsidP="00F3777D">
      <w:pPr>
        <w:pStyle w:val="ListBullet"/>
        <w:spacing w:after="80"/>
      </w:pPr>
      <w:r>
        <w:rPr>
          <w:b/>
        </w:rPr>
        <w:t xml:space="preserve">The chronologies are heterogeneous. </w:t>
      </w:r>
      <w:r>
        <w:t>Records are variously tuned to LR04, to regional benthic stacks, or to radiometric tie points, and are not on a common age scale. Age offsets of a few thousand years between cores are expected and are a plausible source of apparent mismatch, particularly across Termination II where SST gradients are steep. Column X states each core's age model</w:t>
      </w:r>
      <w:r w:rsidR="008A1D15">
        <w:t>, but sometimes unknown.</w:t>
      </w:r>
    </w:p>
    <w:p w14:paraId="030F25AC" w14:textId="77777777" w:rsidR="00B64D32" w:rsidRDefault="00000000">
      <w:pPr>
        <w:pStyle w:val="ListBullet"/>
        <w:spacing w:after="80"/>
      </w:pPr>
      <w:r>
        <w:rPr>
          <w:b/>
        </w:rPr>
        <w:t xml:space="preserve">Summer-flagged cores are not annual. </w:t>
      </w:r>
      <w:r>
        <w:t>Six records carry a warm-season signal only. Scoring them against an annual-mean reconstruction without an offset will manufacture an apparent warm bias.</w:t>
      </w:r>
    </w:p>
    <w:p w14:paraId="7724DBD2" w14:textId="454F7EF4" w:rsidR="00B64D32" w:rsidRDefault="00000000">
      <w:pPr>
        <w:pStyle w:val="ListBullet"/>
        <w:spacing w:after="80"/>
      </w:pPr>
      <w:r>
        <w:rPr>
          <w:b/>
        </w:rPr>
        <w:t xml:space="preserve">Proxies do not all record the same thing. </w:t>
      </w:r>
      <w:r>
        <w:t>UK'37 is biased toward the coccolithophore growth season; Mg/Ca reflects the calcification depth and season of its carrier species, which is named in column Y. The proxy in column D and the carrier species in column Y should inform how each record is weighted.</w:t>
      </w:r>
    </w:p>
    <w:p w14:paraId="3B432F09" w14:textId="77777777" w:rsidR="00B64D32" w:rsidRDefault="00000000">
      <w:pPr>
        <w:pStyle w:val="ListBullet"/>
        <w:spacing w:after="80"/>
      </w:pPr>
      <w:r>
        <w:rPr>
          <w:b/>
        </w:rPr>
        <w:t xml:space="preserve">Coverage is uneven. </w:t>
      </w:r>
      <w:r>
        <w:t>There are no new Arctic records, and Southern Ocean records average under seven points each. Any global skill statistic will be dominated by the Atlantic and should be reported per basin as well as globally.</w:t>
      </w:r>
    </w:p>
    <w:p w14:paraId="1B7051E0" w14:textId="77777777" w:rsidR="00B64D32" w:rsidRDefault="00000000">
      <w:pPr>
        <w:pStyle w:val="ListBullet"/>
        <w:spacing w:after="80"/>
      </w:pPr>
      <w:r>
        <w:rPr>
          <w:b/>
        </w:rPr>
        <w:t xml:space="preserve">Two coordinate discrepancies remain open. </w:t>
      </w:r>
      <w:r>
        <w:t>For V19-29 the NCEI latitude (−3.57) supersedes the −3.25 in the original sheet; for NH22P the original value (22.52) is correct against NCEI's 23.52. Both are noted here so that a future user does not silently “correct” the wrong one.</w:t>
      </w:r>
    </w:p>
    <w:p w14:paraId="3F01BD8A" w14:textId="77777777" w:rsidR="00B64D32" w:rsidRDefault="00000000">
      <w:pPr>
        <w:pStyle w:val="Heading1"/>
        <w:spacing w:before="320" w:after="120"/>
      </w:pPr>
      <w:r>
        <w:rPr>
          <w:rFonts w:ascii="Calibri" w:hAnsi="Calibri"/>
          <w:color w:val="1F3B5C"/>
          <w:sz w:val="30"/>
        </w:rPr>
        <w:t>7. Suggested use</w:t>
      </w:r>
    </w:p>
    <w:p w14:paraId="40D135B1" w14:textId="77777777" w:rsidR="00B64D32" w:rsidRDefault="00000000">
      <w:r>
        <w:t>For validating an RSOI reconstruction, in order of directness:</w:t>
      </w:r>
    </w:p>
    <w:p w14:paraId="3505A9FB" w14:textId="77777777" w:rsidR="00B64D32" w:rsidRDefault="00000000">
      <w:pPr>
        <w:pStyle w:val="ListBullet"/>
        <w:spacing w:after="80"/>
      </w:pPr>
      <w:r>
        <w:t>Use SST_Data_Mining_2026-07-21.xlsx as the primary independent set. Exclude or offset-correct the six summer-flagged cores first, and settle the missing-sigma policy before scoring.</w:t>
      </w:r>
    </w:p>
    <w:p w14:paraId="3556E47E" w14:textId="77777777" w:rsidR="00B64D32" w:rsidRDefault="00000000">
      <w:pPr>
        <w:pStyle w:val="ListBullet"/>
        <w:spacing w:after="80"/>
      </w:pPr>
      <w:r>
        <w:t>Report bias, RMSE, unbiased RMSE and correlation both globally and per basin, since coverage is uneven.</w:t>
      </w:r>
    </w:p>
    <w:p w14:paraId="6188753C" w14:textId="6DB6F950" w:rsidR="00B64D32" w:rsidRDefault="00000000">
      <w:pPr>
        <w:pStyle w:val="ListBullet"/>
        <w:spacing w:after="80"/>
      </w:pPr>
      <w:r>
        <w:t>130–140 ka</w:t>
      </w:r>
      <w:r w:rsidR="0050094A">
        <w:t xml:space="preserve"> cannot be tested</w:t>
      </w:r>
      <w:r>
        <w:t xml:space="preserve">. Hoffman does not </w:t>
      </w:r>
      <w:r w:rsidR="0050094A">
        <w:t>include data prior to 130 ka</w:t>
      </w:r>
      <w:r>
        <w:t xml:space="preserve">, so performance </w:t>
      </w:r>
      <w:r w:rsidR="0050094A">
        <w:t>of reconstruction</w:t>
      </w:r>
      <w:r>
        <w:t xml:space="preserve"> </w:t>
      </w:r>
      <w:r w:rsidR="0050094A">
        <w:t xml:space="preserve">must be through </w:t>
      </w:r>
      <w:r>
        <w:t xml:space="preserve">extrapolation rather than </w:t>
      </w:r>
      <w:r w:rsidR="0050094A">
        <w:t>interpolation and has not been checked</w:t>
      </w:r>
      <w:r>
        <w:t>.</w:t>
      </w:r>
      <w:r w:rsidR="008A1D15">
        <w:t xml:space="preserve"> </w:t>
      </w:r>
    </w:p>
    <w:p w14:paraId="4B06793B" w14:textId="77777777" w:rsidR="00B64D32" w:rsidRDefault="00000000">
      <w:pPr>
        <w:pStyle w:val="ListBullet"/>
        <w:spacing w:after="80"/>
      </w:pPr>
      <w:r>
        <w:t>Use same_core_different_chronology.xlsx as a diagnostic rather than a score: comparing one site under two age models separates chronological disagreement from thermal disagreement.</w:t>
      </w:r>
    </w:p>
    <w:p w14:paraId="52659EA1" w14:textId="77777777" w:rsidR="00B64D32" w:rsidRDefault="00000000">
      <w:pPr>
        <w:pStyle w:val="ListBullet"/>
        <w:spacing w:after="80"/>
      </w:pPr>
      <w:r>
        <w:t>SST_Depth_Only_For_Jerry.xlsx cannot be scored until age models exist, but it flags where modest chronological work would add the most new constraint.</w:t>
      </w:r>
    </w:p>
    <w:p w14:paraId="1F836A4C" w14:textId="77777777" w:rsidR="00B64D32" w:rsidRDefault="00B64D32"/>
    <w:p w14:paraId="0F9196FE" w14:textId="77777777" w:rsidR="00B64D32" w:rsidRDefault="00000000">
      <w:r>
        <w:rPr>
          <w:i/>
          <w:color w:val="555555"/>
          <w:sz w:val="20"/>
        </w:rPr>
        <w:t>Questions about any individual record should start with column Y of that tab, which records the reasoning behind every value in it.</w:t>
      </w:r>
    </w:p>
    <w:sectPr w:rsidR="00B64D32"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226117">
    <w:abstractNumId w:val="8"/>
  </w:num>
  <w:num w:numId="2" w16cid:durableId="657074281">
    <w:abstractNumId w:val="6"/>
  </w:num>
  <w:num w:numId="3" w16cid:durableId="330060003">
    <w:abstractNumId w:val="5"/>
  </w:num>
  <w:num w:numId="4" w16cid:durableId="2039162522">
    <w:abstractNumId w:val="4"/>
  </w:num>
  <w:num w:numId="5" w16cid:durableId="1808737218">
    <w:abstractNumId w:val="7"/>
  </w:num>
  <w:num w:numId="6" w16cid:durableId="847251178">
    <w:abstractNumId w:val="3"/>
  </w:num>
  <w:num w:numId="7" w16cid:durableId="1714117718">
    <w:abstractNumId w:val="2"/>
  </w:num>
  <w:num w:numId="8" w16cid:durableId="911694711">
    <w:abstractNumId w:val="1"/>
  </w:num>
  <w:num w:numId="9" w16cid:durableId="141651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6A6"/>
    <w:rsid w:val="0015074B"/>
    <w:rsid w:val="0029639D"/>
    <w:rsid w:val="00303035"/>
    <w:rsid w:val="00312F67"/>
    <w:rsid w:val="00326F90"/>
    <w:rsid w:val="0050094A"/>
    <w:rsid w:val="00742DE5"/>
    <w:rsid w:val="008A1D15"/>
    <w:rsid w:val="009C2D34"/>
    <w:rsid w:val="00A41BB2"/>
    <w:rsid w:val="00AA1D8D"/>
    <w:rsid w:val="00B47730"/>
    <w:rsid w:val="00B64D32"/>
    <w:rsid w:val="00BA0955"/>
    <w:rsid w:val="00C668CB"/>
    <w:rsid w:val="00CB0664"/>
    <w:rsid w:val="00F37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29553"/>
  <w14:defaultImageDpi w14:val="300"/>
  <w15:docId w15:val="{1EC45C96-1389-4143-86D7-4CECA08A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2752</Words>
  <Characters>15690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Chen</cp:lastModifiedBy>
  <cp:revision>2</cp:revision>
  <dcterms:created xsi:type="dcterms:W3CDTF">2013-12-23T23:15:00Z</dcterms:created>
  <dcterms:modified xsi:type="dcterms:W3CDTF">2026-07-21T09:22:00Z</dcterms:modified>
  <cp:category/>
</cp:coreProperties>
</file>