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//Illustrates the difference between a call-by-value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//parameter and a call-by-reference parameter.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do_stuff(int par1_value, int&amp; par2_ref);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//par1_value is a call-by-value formal parameter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//par2_ref is a call-by-reference formal parameter.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n1, n2;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n1 =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n2 = 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do_stuff(n1, n2);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cout &lt;&lt; "n1 after function call = " &lt;&lt; n1 &lt;&lt; 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"n2 after function call= " &lt;&lt; n2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do_stuff(int par1_value, int&amp; par2_ref)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par1_value = 111;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cout &lt;&lt; "par1_value in function call = 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&lt;&lt; par1_value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par2_ref = 222;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cout &lt;&lt; "par2_ref in function call = 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&lt;&lt; par2_ref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