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1"/>
            <w:bookmarkStart w:id="9" w:name="OLE_LINK2"/>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16AB19C5"/>
    <w:rsid w:val="3AF5223A"/>
    <w:rsid w:val="3E4A7CE2"/>
    <w:rsid w:val="5869107F"/>
    <w:rsid w:val="5DF25B27"/>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2016-06-27T08:47:39Z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