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32"/>
          <w:szCs w:val="32"/>
          <w:rtl w:val="0"/>
        </w:rPr>
        <w:t xml:space="preserve">Finalizing research pg is the why we started looking @ these specific sections / “research direction”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32"/>
          <w:szCs w:val="32"/>
          <w:rtl w:val="0"/>
        </w:rPr>
        <w:t xml:space="preserve">Humor pg is the what we found</w:t>
      </w:r>
    </w:p>
    <w:p w:rsidR="00000000" w:rsidDel="00000000" w:rsidP="00000000" w:rsidRDefault="00000000" w:rsidRPr="00000000" w14:paraId="00000003">
      <w:pPr>
        <w:spacing w:after="0" w:lineRule="auto"/>
        <w:rPr>
          <w:rFonts w:ascii="Montserrat" w:cs="Montserrat" w:eastAsia="Montserrat" w:hAnsi="Montserrat"/>
          <w:color w:val="434343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32"/>
          <w:szCs w:val="32"/>
          <w:rtl w:val="0"/>
        </w:rPr>
        <w:t xml:space="preserve">Humor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An analysis into the deep world of how humans perceive and react to humor. Is it useful? It is necessary? And finally, how can we do it </w:t>
      </w: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Humor is supplemental to education, which can connect people and lead to higher student/learner engagement. They also lead to a release of stress and can be healthy for individuals.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Humor works best when it’s targeted, but not exclusionary. People want to feel like they’re part of the “in-group”, and an exclusive reference can stop that feeling. Conversely, humor that’s too generalized can seem fake and forced. Memes, when done right, can bridge this gap.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Millennials/younger generations love absurdist and “mean”/self-deprecating humor. They’re also the age group with the lowest voter turnout.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Humor makes people feel comfortable when interacting with technologies and conversational interfaces. It can lighten up the mood and make a user feel okay with the interface. Humans also respond a lot better to (and judge less critically) chatbots with non-human faces. Anthropomorphized animals seem to lend themselves really well to this.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