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013815C" wp14:paraId="71434786" wp14:textId="3410DAED">
      <w:pPr>
        <w:pStyle w:val="Heading1"/>
      </w:pPr>
      <w:r w:rsidRPr="3013815C" w:rsidR="306F5545">
        <w:rPr>
          <w:rFonts w:ascii="Aptos" w:hAnsi="Aptos" w:eastAsia="Aptos" w:cs="Aptos"/>
          <w:noProof w:val="0"/>
          <w:sz w:val="24"/>
          <w:szCs w:val="24"/>
          <w:lang w:val="en-US"/>
        </w:rPr>
        <w:t>Part II: Market Research Component</w:t>
      </w:r>
    </w:p>
    <w:p xmlns:wp14="http://schemas.microsoft.com/office/word/2010/wordml" w:rsidP="3013815C" wp14:paraId="0262A895" wp14:textId="076FDA68">
      <w:pPr>
        <w:pStyle w:val="Heading2"/>
      </w:pPr>
      <w:r w:rsidRPr="3013815C" w:rsidR="306F5545">
        <w:rPr>
          <w:rFonts w:ascii="Aptos" w:hAnsi="Aptos" w:eastAsia="Aptos" w:cs="Aptos"/>
          <w:noProof w:val="0"/>
          <w:sz w:val="24"/>
          <w:szCs w:val="24"/>
          <w:lang w:val="en-US"/>
        </w:rPr>
        <w:t>A. Event Identification</w:t>
      </w:r>
    </w:p>
    <w:p xmlns:wp14="http://schemas.microsoft.com/office/word/2010/wordml" wp14:paraId="4B2AFFF3" wp14:textId="25FADDC4"/>
    <w:p xmlns:wp14="http://schemas.microsoft.com/office/word/2010/wordml" w:rsidP="3013815C" wp14:paraId="389A3585" wp14:textId="4EF4A7D6">
      <w:pPr>
        <w:pStyle w:val="Heading2"/>
      </w:pPr>
      <w:r w:rsidRPr="3013815C" w:rsidR="306F5545">
        <w:rPr>
          <w:rFonts w:ascii="Aptos" w:hAnsi="Aptos" w:eastAsia="Aptos" w:cs="Aptos"/>
          <w:noProof w:val="0"/>
          <w:sz w:val="24"/>
          <w:szCs w:val="24"/>
          <w:lang w:val="en-US"/>
        </w:rPr>
        <w:t>Question 1</w:t>
      </w:r>
    </w:p>
    <w:p xmlns:wp14="http://schemas.microsoft.com/office/word/2010/wordml" w:rsidP="3013815C" wp14:paraId="347F3C73" wp14:textId="3869E7A9">
      <w:pPr>
        <w:pStyle w:val="Heading3"/>
      </w:pPr>
      <w:r w:rsidRPr="3013815C" w:rsidR="306F5545">
        <w:rPr>
          <w:rFonts w:ascii="Aptos" w:hAnsi="Aptos" w:eastAsia="Aptos" w:cs="Aptos"/>
          <w:noProof w:val="0"/>
          <w:sz w:val="24"/>
          <w:szCs w:val="24"/>
          <w:lang w:val="en-US"/>
        </w:rPr>
        <w:t>Identify three major global events mentioned in the files that could affect commodity or currency markets.</w:t>
      </w:r>
    </w:p>
    <w:p xmlns:wp14="http://schemas.microsoft.com/office/word/2010/wordml" wp14:paraId="36EC1407" wp14:textId="530097A0">
      <w:r w:rsidRPr="3013815C" w:rsidR="306F5545">
        <w:rPr>
          <w:rFonts w:ascii="Aptos" w:hAnsi="Aptos" w:eastAsia="Aptos" w:cs="Aptos"/>
          <w:b w:val="1"/>
          <w:bCs w:val="1"/>
          <w:noProof w:val="0"/>
          <w:sz w:val="24"/>
          <w:szCs w:val="24"/>
          <w:lang w:val="en-US"/>
        </w:rPr>
        <w:t>Expected Output: Short Evidence-Based Paragraph</w:t>
      </w:r>
    </w:p>
    <w:p xmlns:wp14="http://schemas.microsoft.com/office/word/2010/wordml" wp14:paraId="746D8847" wp14:textId="5C45D0DB">
      <w:r w:rsidRPr="3013815C" w:rsidR="306F5545">
        <w:rPr>
          <w:rFonts w:ascii="Aptos" w:hAnsi="Aptos" w:eastAsia="Aptos" w:cs="Aptos"/>
          <w:noProof w:val="0"/>
          <w:sz w:val="24"/>
          <w:szCs w:val="24"/>
          <w:lang w:val="en-US"/>
        </w:rPr>
        <w:t>The provided reports indicate three major events that could influence commodity and currency markets: (1) the Hormuz Strait crisis and energy supply disruptions, which may threaten global oil supplies; (2) sanctions and tariff discussions, which can affect international trade flows and currency demand; and (3) the emergence of BRICS Pay together with increased gold accumulation by central banks, which reflects efforts toward reserve diversification. The SWIFT Global Currency Tracker shows that although the U.S. dollar remains dominant, other currencies continue to participate in international payments and trade finance, indicating gradual changes in the global monetary system .</w:t>
      </w:r>
    </w:p>
    <w:p xmlns:wp14="http://schemas.microsoft.com/office/word/2010/wordml" wp14:paraId="62B1335E" wp14:textId="462C2977"/>
    <w:p xmlns:wp14="http://schemas.microsoft.com/office/word/2010/wordml" w:rsidP="3013815C" wp14:paraId="034CB8BA" wp14:textId="3783703F">
      <w:pPr>
        <w:pStyle w:val="Heading2"/>
      </w:pPr>
      <w:r w:rsidRPr="3013815C" w:rsidR="306F5545">
        <w:rPr>
          <w:rFonts w:ascii="Aptos" w:hAnsi="Aptos" w:eastAsia="Aptos" w:cs="Aptos"/>
          <w:noProof w:val="0"/>
          <w:sz w:val="24"/>
          <w:szCs w:val="24"/>
          <w:lang w:val="en-US"/>
        </w:rPr>
        <w:t>Question 2</w:t>
      </w:r>
    </w:p>
    <w:p xmlns:wp14="http://schemas.microsoft.com/office/word/2010/wordml" w:rsidP="3013815C" wp14:paraId="21B77547" wp14:textId="2B8EB3D6">
      <w:pPr>
        <w:pStyle w:val="Heading3"/>
      </w:pPr>
      <w:r w:rsidRPr="3013815C" w:rsidR="306F5545">
        <w:rPr>
          <w:rFonts w:ascii="Aptos" w:hAnsi="Aptos" w:eastAsia="Aptos" w:cs="Aptos"/>
          <w:noProof w:val="0"/>
          <w:sz w:val="24"/>
          <w:szCs w:val="24"/>
          <w:lang w:val="en-US"/>
        </w:rPr>
        <w:t>Create a simple timeline of selected events such as the Hormuz crisis, energy supply disruption, sanctions, tariff discussion, BRICS Pay, or gold accumulation.</w:t>
      </w:r>
    </w:p>
    <w:p xmlns:wp14="http://schemas.microsoft.com/office/word/2010/wordml" wp14:paraId="4DB83DBE" wp14:textId="05F2CA80">
      <w:r w:rsidRPr="3013815C" w:rsidR="306F5545">
        <w:rPr>
          <w:rFonts w:ascii="Aptos" w:hAnsi="Aptos" w:eastAsia="Aptos" w:cs="Aptos"/>
          <w:b w:val="1"/>
          <w:bCs w:val="1"/>
          <w:noProof w:val="0"/>
          <w:sz w:val="24"/>
          <w:szCs w:val="24"/>
          <w:lang w:val="en-US"/>
        </w:rPr>
        <w:t>Expected Output: Timeline Table</w:t>
      </w:r>
    </w:p>
    <w:tbl>
      <w:tblPr>
        <w:tblStyle w:val="TableNormal"/>
        <w:bidiVisual w:val="0"/>
        <w:tblW w:w="0" w:type="auto"/>
        <w:tblLook w:val="06A0" w:firstRow="1" w:lastRow="0" w:firstColumn="1" w:lastColumn="0" w:noHBand="1" w:noVBand="1"/>
      </w:tblPr>
      <w:tblGrid>
        <w:gridCol w:w="4680"/>
        <w:gridCol w:w="4680"/>
      </w:tblGrid>
      <w:tr w:rsidR="3013815C" w:rsidTr="3013815C" w14:paraId="4DF15CB9">
        <w:trPr>
          <w:trHeight w:val="300"/>
        </w:trPr>
        <w:tc>
          <w:tcPr>
            <w:tcW w:w="4680" w:type="dxa"/>
            <w:tcMar/>
            <w:vAlign w:val="center"/>
          </w:tcPr>
          <w:p w:rsidR="3013815C" w:rsidP="3013815C" w:rsidRDefault="3013815C" w14:paraId="52299F05" w14:textId="3DB00B86">
            <w:pPr>
              <w:spacing w:before="0" w:beforeAutospacing="off" w:after="0" w:afterAutospacing="off"/>
              <w:jc w:val="center"/>
            </w:pPr>
            <w:r w:rsidRPr="3013815C" w:rsidR="3013815C">
              <w:rPr>
                <w:b w:val="1"/>
                <w:bCs w:val="1"/>
              </w:rPr>
              <w:t>Event</w:t>
            </w:r>
          </w:p>
        </w:tc>
        <w:tc>
          <w:tcPr>
            <w:tcW w:w="4680" w:type="dxa"/>
            <w:tcMar/>
            <w:vAlign w:val="center"/>
          </w:tcPr>
          <w:p w:rsidR="3013815C" w:rsidP="3013815C" w:rsidRDefault="3013815C" w14:paraId="56E1CD34" w14:textId="18BE061D">
            <w:pPr>
              <w:spacing w:before="0" w:beforeAutospacing="off" w:after="0" w:afterAutospacing="off"/>
              <w:jc w:val="center"/>
            </w:pPr>
            <w:r w:rsidRPr="3013815C" w:rsidR="3013815C">
              <w:rPr>
                <w:b w:val="1"/>
                <w:bCs w:val="1"/>
              </w:rPr>
              <w:t>Possible Market Impact</w:t>
            </w:r>
          </w:p>
        </w:tc>
      </w:tr>
      <w:tr w:rsidR="3013815C" w:rsidTr="3013815C" w14:paraId="3E33ABEC">
        <w:trPr>
          <w:trHeight w:val="300"/>
        </w:trPr>
        <w:tc>
          <w:tcPr>
            <w:tcW w:w="4680" w:type="dxa"/>
            <w:tcMar/>
            <w:vAlign w:val="center"/>
          </w:tcPr>
          <w:p w:rsidR="3013815C" w:rsidP="3013815C" w:rsidRDefault="3013815C" w14:paraId="2EB87ADF" w14:textId="39FB203B">
            <w:pPr>
              <w:spacing w:before="0" w:beforeAutospacing="off" w:after="0" w:afterAutospacing="off"/>
            </w:pPr>
            <w:r w:rsidR="3013815C">
              <w:rPr/>
              <w:t>Hormuz Strait Crisis</w:t>
            </w:r>
          </w:p>
        </w:tc>
        <w:tc>
          <w:tcPr>
            <w:tcW w:w="4680" w:type="dxa"/>
            <w:tcMar/>
            <w:vAlign w:val="center"/>
          </w:tcPr>
          <w:p w:rsidR="3013815C" w:rsidP="3013815C" w:rsidRDefault="3013815C" w14:paraId="05F21024" w14:textId="5383528B">
            <w:pPr>
              <w:spacing w:before="0" w:beforeAutospacing="off" w:after="0" w:afterAutospacing="off"/>
            </w:pPr>
            <w:r w:rsidR="3013815C">
              <w:rPr/>
              <w:t>Increased oil price volatility</w:t>
            </w:r>
          </w:p>
        </w:tc>
      </w:tr>
      <w:tr w:rsidR="3013815C" w:rsidTr="3013815C" w14:paraId="7D1A2241">
        <w:trPr>
          <w:trHeight w:val="300"/>
        </w:trPr>
        <w:tc>
          <w:tcPr>
            <w:tcW w:w="4680" w:type="dxa"/>
            <w:tcMar/>
            <w:vAlign w:val="center"/>
          </w:tcPr>
          <w:p w:rsidR="3013815C" w:rsidP="3013815C" w:rsidRDefault="3013815C" w14:paraId="6D29EA0A" w14:textId="3BEE592B">
            <w:pPr>
              <w:spacing w:before="0" w:beforeAutospacing="off" w:after="0" w:afterAutospacing="off"/>
            </w:pPr>
            <w:r w:rsidR="3013815C">
              <w:rPr/>
              <w:t>Energy Supply Disruptions</w:t>
            </w:r>
          </w:p>
        </w:tc>
        <w:tc>
          <w:tcPr>
            <w:tcW w:w="4680" w:type="dxa"/>
            <w:tcMar/>
            <w:vAlign w:val="center"/>
          </w:tcPr>
          <w:p w:rsidR="3013815C" w:rsidP="3013815C" w:rsidRDefault="3013815C" w14:paraId="70BF1D01" w14:textId="46C7EFBF">
            <w:pPr>
              <w:spacing w:before="0" w:beforeAutospacing="off" w:after="0" w:afterAutospacing="off"/>
            </w:pPr>
            <w:r w:rsidR="3013815C">
              <w:rPr/>
              <w:t>Higher energy prices</w:t>
            </w:r>
          </w:p>
        </w:tc>
      </w:tr>
      <w:tr w:rsidR="3013815C" w:rsidTr="3013815C" w14:paraId="0A30B167">
        <w:trPr>
          <w:trHeight w:val="300"/>
        </w:trPr>
        <w:tc>
          <w:tcPr>
            <w:tcW w:w="4680" w:type="dxa"/>
            <w:tcMar/>
            <w:vAlign w:val="center"/>
          </w:tcPr>
          <w:p w:rsidR="3013815C" w:rsidP="3013815C" w:rsidRDefault="3013815C" w14:paraId="49596E41" w14:textId="656B6FA4">
            <w:pPr>
              <w:spacing w:before="0" w:beforeAutospacing="off" w:after="0" w:afterAutospacing="off"/>
            </w:pPr>
            <w:r w:rsidR="3013815C">
              <w:rPr/>
              <w:t>Economic Sanctions</w:t>
            </w:r>
          </w:p>
        </w:tc>
        <w:tc>
          <w:tcPr>
            <w:tcW w:w="4680" w:type="dxa"/>
            <w:tcMar/>
            <w:vAlign w:val="center"/>
          </w:tcPr>
          <w:p w:rsidR="3013815C" w:rsidP="3013815C" w:rsidRDefault="3013815C" w14:paraId="083CEA9D" w14:textId="61FEB385">
            <w:pPr>
              <w:spacing w:before="0" w:beforeAutospacing="off" w:after="0" w:afterAutospacing="off"/>
            </w:pPr>
            <w:r w:rsidR="3013815C">
              <w:rPr/>
              <w:t>Changes in trade and currency movements</w:t>
            </w:r>
          </w:p>
        </w:tc>
      </w:tr>
      <w:tr w:rsidR="3013815C" w:rsidTr="3013815C" w14:paraId="570C5A74">
        <w:trPr>
          <w:trHeight w:val="300"/>
        </w:trPr>
        <w:tc>
          <w:tcPr>
            <w:tcW w:w="4680" w:type="dxa"/>
            <w:tcMar/>
            <w:vAlign w:val="center"/>
          </w:tcPr>
          <w:p w:rsidR="3013815C" w:rsidP="3013815C" w:rsidRDefault="3013815C" w14:paraId="3BEAE2AB" w14:textId="1D52E27C">
            <w:pPr>
              <w:spacing w:before="0" w:beforeAutospacing="off" w:after="0" w:afterAutospacing="off"/>
            </w:pPr>
            <w:r w:rsidR="3013815C">
              <w:rPr/>
              <w:t>Tariff Discussions</w:t>
            </w:r>
          </w:p>
        </w:tc>
        <w:tc>
          <w:tcPr>
            <w:tcW w:w="4680" w:type="dxa"/>
            <w:tcMar/>
            <w:vAlign w:val="center"/>
          </w:tcPr>
          <w:p w:rsidR="3013815C" w:rsidP="3013815C" w:rsidRDefault="3013815C" w14:paraId="6D184A96" w14:textId="7871D3C0">
            <w:pPr>
              <w:spacing w:before="0" w:beforeAutospacing="off" w:after="0" w:afterAutospacing="off"/>
            </w:pPr>
            <w:r w:rsidR="3013815C">
              <w:rPr/>
              <w:t>Greater market uncertainty</w:t>
            </w:r>
          </w:p>
        </w:tc>
      </w:tr>
      <w:tr w:rsidR="3013815C" w:rsidTr="3013815C" w14:paraId="13FF8892">
        <w:trPr>
          <w:trHeight w:val="300"/>
        </w:trPr>
        <w:tc>
          <w:tcPr>
            <w:tcW w:w="4680" w:type="dxa"/>
            <w:tcMar/>
            <w:vAlign w:val="center"/>
          </w:tcPr>
          <w:p w:rsidR="3013815C" w:rsidP="3013815C" w:rsidRDefault="3013815C" w14:paraId="4A00D662" w14:textId="748036DE">
            <w:pPr>
              <w:spacing w:before="0" w:beforeAutospacing="off" w:after="0" w:afterAutospacing="off"/>
            </w:pPr>
            <w:r w:rsidR="3013815C">
              <w:rPr/>
              <w:t>BRICS Pay Development</w:t>
            </w:r>
          </w:p>
        </w:tc>
        <w:tc>
          <w:tcPr>
            <w:tcW w:w="4680" w:type="dxa"/>
            <w:tcMar/>
            <w:vAlign w:val="center"/>
          </w:tcPr>
          <w:p w:rsidR="3013815C" w:rsidP="3013815C" w:rsidRDefault="3013815C" w14:paraId="373972F7" w14:textId="2DE34833">
            <w:pPr>
              <w:spacing w:before="0" w:beforeAutospacing="off" w:after="0" w:afterAutospacing="off"/>
            </w:pPr>
            <w:r w:rsidR="3013815C">
              <w:rPr/>
              <w:t>Reduced reliance on traditional payment systems</w:t>
            </w:r>
          </w:p>
        </w:tc>
      </w:tr>
      <w:tr w:rsidR="3013815C" w:rsidTr="3013815C" w14:paraId="2D0A0E60">
        <w:trPr>
          <w:trHeight w:val="300"/>
        </w:trPr>
        <w:tc>
          <w:tcPr>
            <w:tcW w:w="4680" w:type="dxa"/>
            <w:tcMar/>
            <w:vAlign w:val="center"/>
          </w:tcPr>
          <w:p w:rsidR="3013815C" w:rsidP="3013815C" w:rsidRDefault="3013815C" w14:paraId="52909531" w14:textId="0505A3BA">
            <w:pPr>
              <w:spacing w:before="0" w:beforeAutospacing="off" w:after="0" w:afterAutospacing="off"/>
            </w:pPr>
            <w:r w:rsidR="3013815C">
              <w:rPr/>
              <w:t>Central Bank Gold Accumulation</w:t>
            </w:r>
          </w:p>
        </w:tc>
        <w:tc>
          <w:tcPr>
            <w:tcW w:w="4680" w:type="dxa"/>
            <w:tcMar/>
            <w:vAlign w:val="center"/>
          </w:tcPr>
          <w:p w:rsidR="3013815C" w:rsidP="3013815C" w:rsidRDefault="3013815C" w14:paraId="6A538BA4" w14:textId="00D68D24">
            <w:pPr>
              <w:spacing w:before="0" w:beforeAutospacing="off" w:after="0" w:afterAutospacing="off"/>
            </w:pPr>
            <w:r w:rsidR="3013815C">
              <w:rPr/>
              <w:t>Increased demand for gold and silver</w:t>
            </w:r>
          </w:p>
        </w:tc>
      </w:tr>
    </w:tbl>
    <w:p xmlns:wp14="http://schemas.microsoft.com/office/word/2010/wordml" wp14:paraId="1E389FB2" wp14:textId="71A894C9"/>
    <w:p xmlns:wp14="http://schemas.microsoft.com/office/word/2010/wordml" w:rsidP="3013815C" wp14:paraId="223D0717" wp14:textId="1FBE9247">
      <w:pPr>
        <w:pStyle w:val="Heading2"/>
      </w:pPr>
      <w:r w:rsidRPr="3013815C" w:rsidR="306F5545">
        <w:rPr>
          <w:rFonts w:ascii="Aptos" w:hAnsi="Aptos" w:eastAsia="Aptos" w:cs="Aptos"/>
          <w:noProof w:val="0"/>
          <w:sz w:val="24"/>
          <w:szCs w:val="24"/>
          <w:lang w:val="en-US"/>
        </w:rPr>
        <w:t>Question 3</w:t>
      </w:r>
    </w:p>
    <w:p xmlns:wp14="http://schemas.microsoft.com/office/word/2010/wordml" w:rsidP="3013815C" wp14:paraId="19E7BF14" wp14:textId="638E3775">
      <w:pPr>
        <w:pStyle w:val="Heading3"/>
      </w:pPr>
      <w:r w:rsidRPr="3013815C" w:rsidR="306F5545">
        <w:rPr>
          <w:rFonts w:ascii="Aptos" w:hAnsi="Aptos" w:eastAsia="Aptos" w:cs="Aptos"/>
          <w:noProof w:val="0"/>
          <w:sz w:val="24"/>
          <w:szCs w:val="24"/>
          <w:lang w:val="en-US"/>
        </w:rPr>
        <w:t>Which event seems most directly connected to Brent Oil prices? Explain why.</w:t>
      </w:r>
    </w:p>
    <w:p xmlns:wp14="http://schemas.microsoft.com/office/word/2010/wordml" wp14:paraId="5752E80A" wp14:textId="1B2B85D5">
      <w:r w:rsidRPr="3013815C" w:rsidR="306F5545">
        <w:rPr>
          <w:rFonts w:ascii="Aptos" w:hAnsi="Aptos" w:eastAsia="Aptos" w:cs="Aptos"/>
          <w:b w:val="1"/>
          <w:bCs w:val="1"/>
          <w:noProof w:val="0"/>
          <w:sz w:val="24"/>
          <w:szCs w:val="24"/>
          <w:lang w:val="en-US"/>
        </w:rPr>
        <w:t>Expected Output: Short Paragraph Linked to One Chart</w:t>
      </w:r>
    </w:p>
    <w:p xmlns:wp14="http://schemas.microsoft.com/office/word/2010/wordml" wp14:paraId="540AF56D" wp14:textId="6F5D5EC8">
      <w:r w:rsidRPr="3013815C" w:rsidR="306F5545">
        <w:rPr>
          <w:rFonts w:ascii="Aptos" w:hAnsi="Aptos" w:eastAsia="Aptos" w:cs="Aptos"/>
          <w:noProof w:val="0"/>
          <w:sz w:val="24"/>
          <w:szCs w:val="24"/>
          <w:lang w:val="en-US"/>
        </w:rPr>
        <w:t xml:space="preserve">The Hormuz Strait crisis and related energy supply disruptions appear to be most directly connected to Brent Oil prices. Since a large share of global crude oil trade passes through this region, geopolitical tensions can create concerns about supply shortages and lead to higher oil prices. This relationship is reflected in </w:t>
      </w:r>
      <w:r w:rsidRPr="3013815C" w:rsidR="306F5545">
        <w:rPr>
          <w:rFonts w:ascii="Aptos" w:hAnsi="Aptos" w:eastAsia="Aptos" w:cs="Aptos"/>
          <w:b w:val="1"/>
          <w:bCs w:val="1"/>
          <w:noProof w:val="0"/>
          <w:sz w:val="24"/>
          <w:szCs w:val="24"/>
          <w:lang w:val="en-US"/>
        </w:rPr>
        <w:t>Figure 1 (Brent Crude Oil Price Trend)</w:t>
      </w:r>
      <w:r w:rsidRPr="3013815C" w:rsidR="306F5545">
        <w:rPr>
          <w:rFonts w:ascii="Aptos" w:hAnsi="Aptos" w:eastAsia="Aptos" w:cs="Aptos"/>
          <w:noProof w:val="0"/>
          <w:sz w:val="24"/>
          <w:szCs w:val="24"/>
          <w:lang w:val="en-US"/>
        </w:rPr>
        <w:t xml:space="preserve"> from Part I, where periods of volatility correspond to supply-side uncertainties.</w:t>
      </w:r>
    </w:p>
    <w:p xmlns:wp14="http://schemas.microsoft.com/office/word/2010/wordml" w:rsidP="3013815C" wp14:paraId="257522A5" wp14:textId="3AD5ABD0">
      <w:pPr>
        <w:bidi w:val="0"/>
        <w:rPr>
          <w:rFonts w:ascii="Aptos" w:hAnsi="Aptos" w:eastAsia="Aptos" w:cs="Aptos"/>
          <w:i w:val="1"/>
          <w:iCs w:val="1"/>
          <w:noProof w:val="0"/>
          <w:sz w:val="24"/>
          <w:szCs w:val="24"/>
          <w:lang w:val="en-US"/>
        </w:rPr>
      </w:pPr>
      <w:r>
        <w:br/>
      </w:r>
      <w:r w:rsidR="3F626C8D">
        <w:drawing>
          <wp:inline xmlns:wp14="http://schemas.microsoft.com/office/word/2010/wordprocessingDrawing" wp14:editId="618FF450" wp14:anchorId="2EF9EBCA">
            <wp:extent cx="5943600" cy="2933700"/>
            <wp:effectExtent l="0" t="0" r="0" b="0"/>
            <wp:docPr id="809187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187169" name="Picture 809187169"/>
                    <pic:cNvPicPr/>
                  </pic:nvPicPr>
                  <pic:blipFill>
                    <a:blip xmlns:r="http://schemas.openxmlformats.org/officeDocument/2006/relationships" r:embed="rId638549018">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xmlns:wp14="http://schemas.microsoft.com/office/word/2010/wordml" w:rsidP="3013815C" wp14:paraId="1AAC3F53" wp14:textId="34B52D65">
      <w:pPr>
        <w:pStyle w:val="Heading2"/>
      </w:pPr>
      <w:r w:rsidRPr="3013815C" w:rsidR="306F5545">
        <w:rPr>
          <w:rFonts w:ascii="Aptos" w:hAnsi="Aptos" w:eastAsia="Aptos" w:cs="Aptos"/>
          <w:noProof w:val="0"/>
          <w:sz w:val="24"/>
          <w:szCs w:val="24"/>
          <w:lang w:val="en-US"/>
        </w:rPr>
        <w:t>Question 4</w:t>
      </w:r>
    </w:p>
    <w:p xmlns:wp14="http://schemas.microsoft.com/office/word/2010/wordml" w:rsidP="3013815C" wp14:paraId="73D8569F" wp14:textId="510D7A8A">
      <w:pPr>
        <w:pStyle w:val="Heading3"/>
      </w:pPr>
      <w:r w:rsidRPr="3013815C" w:rsidR="306F5545">
        <w:rPr>
          <w:rFonts w:ascii="Aptos" w:hAnsi="Aptos" w:eastAsia="Aptos" w:cs="Aptos"/>
          <w:noProof w:val="0"/>
          <w:sz w:val="24"/>
          <w:szCs w:val="24"/>
          <w:lang w:val="en-US"/>
        </w:rPr>
        <w:t>Which event seems most directly connected to Gold or Silver prices? Explain why.</w:t>
      </w:r>
    </w:p>
    <w:p xmlns:wp14="http://schemas.microsoft.com/office/word/2010/wordml" wp14:paraId="1F3E27E2" wp14:textId="1F59F53B">
      <w:r w:rsidRPr="3013815C" w:rsidR="306F5545">
        <w:rPr>
          <w:rFonts w:ascii="Aptos" w:hAnsi="Aptos" w:eastAsia="Aptos" w:cs="Aptos"/>
          <w:b w:val="1"/>
          <w:bCs w:val="1"/>
          <w:noProof w:val="0"/>
          <w:sz w:val="24"/>
          <w:szCs w:val="24"/>
          <w:lang w:val="en-US"/>
        </w:rPr>
        <w:t>Expected Output: Short Paragraph Linked to One Chart</w:t>
      </w:r>
    </w:p>
    <w:p xmlns:wp14="http://schemas.microsoft.com/office/word/2010/wordml" w:rsidP="3013815C" wp14:paraId="01C070CC" wp14:textId="3F6A0D2A">
      <w:pPr>
        <w:pStyle w:val="Normal"/>
        <w:bidi w:val="0"/>
        <w:rPr>
          <w:rFonts w:ascii="Aptos" w:hAnsi="Aptos" w:eastAsia="Aptos" w:cs="Aptos"/>
          <w:i w:val="1"/>
          <w:iCs w:val="1"/>
          <w:noProof w:val="0"/>
          <w:sz w:val="24"/>
          <w:szCs w:val="24"/>
          <w:lang w:val="en-US"/>
        </w:rPr>
      </w:pPr>
      <w:r w:rsidRPr="3013815C" w:rsidR="306F5545">
        <w:rPr>
          <w:rFonts w:ascii="Aptos" w:hAnsi="Aptos" w:eastAsia="Aptos" w:cs="Aptos"/>
          <w:noProof w:val="0"/>
          <w:sz w:val="24"/>
          <w:szCs w:val="24"/>
          <w:lang w:val="en-US"/>
        </w:rPr>
        <w:t xml:space="preserve">Central bank gold accumulation and the development of BRICS Pay </w:t>
      </w:r>
      <w:r w:rsidRPr="3013815C" w:rsidR="306F5545">
        <w:rPr>
          <w:rFonts w:ascii="Aptos" w:hAnsi="Aptos" w:eastAsia="Aptos" w:cs="Aptos"/>
          <w:noProof w:val="0"/>
          <w:sz w:val="24"/>
          <w:szCs w:val="24"/>
          <w:lang w:val="en-US"/>
        </w:rPr>
        <w:t>appear to be most directly</w:t>
      </w:r>
      <w:r w:rsidRPr="3013815C" w:rsidR="306F5545">
        <w:rPr>
          <w:rFonts w:ascii="Aptos" w:hAnsi="Aptos" w:eastAsia="Aptos" w:cs="Aptos"/>
          <w:noProof w:val="0"/>
          <w:sz w:val="24"/>
          <w:szCs w:val="24"/>
          <w:lang w:val="en-US"/>
        </w:rPr>
        <w:t xml:space="preserve"> connected to </w:t>
      </w:r>
      <w:r w:rsidRPr="3013815C" w:rsidR="306F5545">
        <w:rPr>
          <w:rFonts w:ascii="Aptos" w:hAnsi="Aptos" w:eastAsia="Aptos" w:cs="Aptos"/>
          <w:noProof w:val="0"/>
          <w:sz w:val="24"/>
          <w:szCs w:val="24"/>
          <w:lang w:val="en-US"/>
        </w:rPr>
        <w:t>Gold and Silver</w:t>
      </w:r>
      <w:r w:rsidRPr="3013815C" w:rsidR="306F5545">
        <w:rPr>
          <w:rFonts w:ascii="Aptos" w:hAnsi="Aptos" w:eastAsia="Aptos" w:cs="Aptos"/>
          <w:noProof w:val="0"/>
          <w:sz w:val="24"/>
          <w:szCs w:val="24"/>
          <w:lang w:val="en-US"/>
        </w:rPr>
        <w:t xml:space="preserve"> prices. These developments encourage reserve diversification and increase demand for precious metals, which are often considered safe-haven assets. This pattern is visible in </w:t>
      </w:r>
      <w:r w:rsidRPr="3013815C" w:rsidR="306F5545">
        <w:rPr>
          <w:rFonts w:ascii="Aptos" w:hAnsi="Aptos" w:eastAsia="Aptos" w:cs="Aptos"/>
          <w:b w:val="1"/>
          <w:bCs w:val="1"/>
          <w:noProof w:val="0"/>
          <w:sz w:val="24"/>
          <w:szCs w:val="24"/>
          <w:lang w:val="en-US"/>
        </w:rPr>
        <w:t>Figure 2 (Historical Silver Price Trend)</w:t>
      </w:r>
      <w:r w:rsidRPr="3013815C" w:rsidR="306F5545">
        <w:rPr>
          <w:rFonts w:ascii="Aptos" w:hAnsi="Aptos" w:eastAsia="Aptos" w:cs="Aptos"/>
          <w:noProof w:val="0"/>
          <w:sz w:val="24"/>
          <w:szCs w:val="24"/>
          <w:lang w:val="en-US"/>
        </w:rPr>
        <w:t xml:space="preserve"> from Part I, where long-term price increases reflect rising demand and periods of economic uncertainty.</w:t>
      </w:r>
      <w:r w:rsidR="5099658F">
        <w:drawing>
          <wp:inline xmlns:wp14="http://schemas.microsoft.com/office/word/2010/wordprocessingDrawing" wp14:editId="4EC11DF7" wp14:anchorId="2EC3F2B5">
            <wp:extent cx="5943600" cy="2933700"/>
            <wp:effectExtent l="0" t="0" r="0" b="0"/>
            <wp:docPr id="582010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0704902" name="Picture 1450704902"/>
                    <pic:cNvPicPr/>
                  </pic:nvPicPr>
                  <pic:blipFill>
                    <a:blip xmlns:r="http://schemas.openxmlformats.org/officeDocument/2006/relationships" r:embed="rId1805809801">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xmlns:wp14="http://schemas.microsoft.com/office/word/2010/wordml" wp14:paraId="2C078E63" wp14:textId="08607D0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E9DC36"/>
    <w:rsid w:val="2AE9DC36"/>
    <w:rsid w:val="3013815C"/>
    <w:rsid w:val="306F5545"/>
    <w:rsid w:val="3F626C8D"/>
    <w:rsid w:val="4145D038"/>
    <w:rsid w:val="48C97AED"/>
    <w:rsid w:val="5099658F"/>
    <w:rsid w:val="5DF9B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0CA2B"/>
  <w15:chartTrackingRefBased/>
  <w15:docId w15:val="{23CCC235-B40C-45C3-A43F-93642DF6D3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13815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013815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013815C"/>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638549018" /><Relationship Type="http://schemas.openxmlformats.org/officeDocument/2006/relationships/image" Target="/media/image2.jpg" Id="rId18058098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2026-06-15T06:26:10.8708245Z</dcterms:created>
  <dcterms:modified xsi:type="dcterms:W3CDTF">2026-06-15T06:53:19.1224035Z</dcterms:modified>
  <dc:creator>Amal Siby</dc:creator>
  <lastModifiedBy>Amal Siby</lastModifiedBy>
</coreProperties>
</file>