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/>
          <w:b/>
          <w:sz w:val="48"/>
        </w:rPr>
        <w:t>Entwicklungsschritt 9</w:t>
      </w:r>
    </w:p>
    <w:p>
      <w:pPr>
        <w:jc w:val="center"/>
      </w:pPr>
      <w:r>
        <w:rPr>
          <w:rFonts w:ascii="Arial" w:hAnsi="Arial"/>
          <w:b/>
          <w:sz w:val="34"/>
        </w:rPr>
        <w:t>Interaktives Power-BI-Dashboard</w:t>
      </w:r>
    </w:p>
    <w:p>
      <w:pPr>
        <w:jc w:val="center"/>
      </w:pPr>
      <w:r>
        <w:rPr>
          <w:rFonts w:ascii="Arial" w:hAnsi="Arial"/>
          <w:sz w:val="24"/>
        </w:rPr>
        <w:br/>
        <w:t>Projekt: TransiSafe 2.0</w:t>
        <w:br/>
        <w:t>Engineering Safety Analysis</w:t>
      </w:r>
    </w:p>
    <w:p>
      <w:pPr>
        <w:jc w:val="center"/>
      </w:pPr>
      <w:r>
        <w:br/>
        <w:t>Dokumentation des Imports von results.csv und summary.csv, der KPI-Modellierung und der interaktiven Visualisierung.</w:t>
      </w:r>
    </w:p>
    <w:p>
      <w:r>
        <w:br w:type="page"/>
      </w:r>
    </w:p>
    <w:p>
      <w:pPr>
        <w:pStyle w:val="Heading1"/>
      </w:pPr>
      <w:r>
        <w:t>1. Ziel des Entwicklungsschritts</w:t>
      </w:r>
    </w:p>
    <w:p>
      <w:r>
        <w:t>Im neunten Entwicklungsschritt wurden die von TransiSafe erzeugten Analyse- und KPI-Daten in Power BI übernommen und zu einem interaktiven Dashboard zusammengeführt. Ziel war es, die technischen Ergebnisse nicht nur tabellarisch, sondern visuell, filterbar und managementgerecht darzustellen.</w:t>
      </w:r>
    </w:p>
    <w:p>
      <w:r>
        <w:t>Das Dashboard sollte sowohl einen schnellen Überblick über die Gesamtsituation als auch einen Vergleich der Transistormodelle ermöglichen.</w:t>
      </w:r>
    </w:p>
    <w:p>
      <w:pPr>
        <w:pStyle w:val="Heading1"/>
      </w:pPr>
      <w:r>
        <w:t>2. Datenquellen</w:t>
      </w:r>
    </w:p>
    <w:p>
      <w:r>
        <w:t>Als Datenquellen wurden die beiden von TransiSafe erzeugten Dateien verwendet:</w:t>
      </w:r>
    </w:p>
    <w:p>
      <w:pPr>
        <w:pStyle w:val="CodeBlock"/>
      </w:pPr>
      <w:r>
        <w:t>results.csv  -&gt; Detaildaten je Betriebspunkt</w:t>
        <w:br/>
        <w:t>summary.csv  -&gt; verdichtete KPIs und Modellkennzahlen</w:t>
      </w:r>
    </w:p>
    <w:p>
      <w:r>
        <w:t>results.csv enthält 500 analysierte Betriebspunkte. summary.csv liefert zusätzliche Gesamt- und Modellkennzahlen. Beide Tabellen wurden über Start -&gt; Daten abrufen -&gt; Text/CSV in Power BI geladen.</w:t>
      </w:r>
    </w:p>
    <w:p>
      <w:pPr>
        <w:pStyle w:val="Heading1"/>
      </w:pPr>
      <w:r>
        <w:t>3. Herausforderung bei der Datentyp-Erkennung</w:t>
      </w:r>
    </w:p>
    <w:p>
      <w:r>
        <w:t>Beim ersten Import interpretierte Power BI die Dezimalpunkte der CSV-Dateien mit deutschem Gebietsschema falsch. Werte wie 11.679 wurden dadurch als 11679000 eingelesen.</w:t>
      </w:r>
    </w:p>
    <w:p>
      <w:r>
        <w:t>Zur Korrektur wurden die automatisch erzeugten Schritte zur Typumwandlung entfernt. Anschließend wurden die numerischen Spalten mit dem Gebietsschema Englisch (Vereinigte Staaten) als Dezimalzahlen konvertiert.</w:t>
      </w:r>
    </w:p>
    <w:p>
      <w:pPr>
        <w:pStyle w:val="CodeBlock"/>
      </w:pPr>
      <w:r>
        <w:t>Datentyp: Dezimalzahl</w:t>
        <w:br/>
        <w:t>Gebietsschema: Englisch (Vereinigte Staaten)</w:t>
      </w:r>
    </w:p>
    <w:p>
      <w:r>
        <w:t>Dadurch wurden Spannungen, Ströme, Temperaturen und Reserven korrekt übernommen.</w:t>
      </w:r>
    </w:p>
    <w:p>
      <w:pPr>
        <w:pStyle w:val="Heading1"/>
      </w:pPr>
      <w:r>
        <w:t>4. Datenmodell und berechnete Spalte</w:t>
      </w:r>
    </w:p>
    <w:p>
      <w:r>
        <w:t>Für eine besser lesbare Statusdarstellung wurde in der Tabelle results eine zusätzliche berechnete Spalte angelegt.</w:t>
      </w:r>
    </w:p>
    <w:p>
      <w:pPr>
        <w:pStyle w:val="CodeBlock"/>
      </w:pPr>
      <w:r>
        <w:t>Status_Kurz =</w:t>
        <w:br/>
        <w:t>SWITCH(</w:t>
        <w:br/>
        <w:t xml:space="preserve">    results[status],</w:t>
        <w:br/>
        <w:t xml:space="preserve">    "NOT_SAFE_TEMPERATURE", "NOT SAFE",</w:t>
        <w:br/>
        <w:t xml:space="preserve">    "NOT_SAFE_POWER", "NOT SAFE",</w:t>
        <w:br/>
        <w:t xml:space="preserve">    "NOT_SAFE_BOTH", "NOT SAFE",</w:t>
        <w:br/>
        <w:t xml:space="preserve">    results[status]</w:t>
        <w:br/>
        <w:t>)</w:t>
      </w:r>
    </w:p>
    <w:p>
      <w:r>
        <w:t>Dadurch werden die technischen Detailstatus in einer einheitlichen Managementdarstellung zusammengefasst.</w:t>
      </w:r>
    </w:p>
    <w:p>
      <w:pPr>
        <w:pStyle w:val="Heading1"/>
      </w:pPr>
      <w:r>
        <w:t>5. DAX-Measures</w:t>
      </w:r>
    </w:p>
    <w:p>
      <w:r>
        <w:t>Damit die KPI-Karten auf Filter reagieren, wurden die ursprünglichen summary-Werte durch Measures auf Basis von results ersetzt.</w:t>
      </w:r>
    </w:p>
    <w:p>
      <w:pPr>
        <w:pStyle w:val="CodeBlock"/>
      </w:pPr>
      <w:r>
        <w:t>Gesamtzahl Betriebspunkte =</w:t>
        <w:br/>
        <w:t>COUNTROWS(results)</w:t>
      </w:r>
    </w:p>
    <w:p>
      <w:pPr>
        <w:pStyle w:val="CodeBlock"/>
      </w:pPr>
      <w:r>
        <w:t>SAFE-Anteil =</w:t>
        <w:br/>
        <w:t>VAR GesamtOhneStatus =</w:t>
        <w:br/>
        <w:t xml:space="preserve">    CALCULATE(</w:t>
        <w:br/>
        <w:t xml:space="preserve">        COUNTROWS(results),</w:t>
        <w:br/>
        <w:t xml:space="preserve">        REMOVEFILTERS(results[Status_Kurz])</w:t>
        <w:br/>
        <w:t xml:space="preserve">    )</w:t>
        <w:br/>
        <w:t>VAR SafeOhneStatus =</w:t>
        <w:br/>
        <w:t xml:space="preserve">    CALCULATE(</w:t>
        <w:br/>
        <w:t xml:space="preserve">        COUNTROWS(results),</w:t>
        <w:br/>
        <w:t xml:space="preserve">        REMOVEFILTERS(results[Status_Kurz]),</w:t>
        <w:br/>
        <w:t xml:space="preserve">        results[Status_Kurz] = "SAFE"</w:t>
        <w:br/>
        <w:t xml:space="preserve">    )</w:t>
        <w:br/>
        <w:t>RETURN</w:t>
        <w:br/>
        <w:t xml:space="preserve">    DIVIDE(SafeOhneStatus, GesamtOhneStatus, 0)</w:t>
      </w:r>
    </w:p>
    <w:p>
      <w:pPr>
        <w:pStyle w:val="CodeBlock"/>
      </w:pPr>
      <w:r>
        <w:t>NOT-SAFE-Anteil =</w:t>
        <w:br/>
        <w:t>VAR GesamtOhneStatus =</w:t>
        <w:br/>
        <w:t xml:space="preserve">    CALCULATE(</w:t>
        <w:br/>
        <w:t xml:space="preserve">        COUNTROWS(results),</w:t>
        <w:br/>
        <w:t xml:space="preserve">        REMOVEFILTERS(results[Status_Kurz])</w:t>
        <w:br/>
        <w:t xml:space="preserve">    )</w:t>
        <w:br/>
        <w:t>VAR NotSafeOhneStatus =</w:t>
        <w:br/>
        <w:t xml:space="preserve">    CALCULATE(</w:t>
        <w:br/>
        <w:t xml:space="preserve">        COUNTROWS(results),</w:t>
        <w:br/>
        <w:t xml:space="preserve">        REMOVEFILTERS(results[Status_Kurz]),</w:t>
        <w:br/>
        <w:t xml:space="preserve">        results[Status_Kurz] = "NOT SAFE"</w:t>
        <w:br/>
        <w:t xml:space="preserve">    )</w:t>
        <w:br/>
        <w:t>RETURN</w:t>
        <w:br/>
        <w:t xml:space="preserve">    DIVIDE(NotSafeOhneStatus, GesamtOhneStatus, 0)</w:t>
      </w:r>
    </w:p>
    <w:p>
      <w:pPr>
        <w:pStyle w:val="CodeBlock"/>
      </w:pPr>
      <w:r>
        <w:t>Maximale Tj =</w:t>
        <w:br/>
        <w:t>CALCULATE(</w:t>
        <w:br/>
        <w:t xml:space="preserve">    MAX(results[tj]),</w:t>
        <w:br/>
        <w:t xml:space="preserve">    REMOVEFILTERS(results[Status_Kurz])</w:t>
        <w:br/>
        <w:t>)</w:t>
      </w:r>
    </w:p>
    <w:p>
      <w:r>
        <w:t>Die Prozent-Measures ignorieren bewusst den Statusfilter, damit sie den Anteil innerhalb des ausgewählten Transistormodells zeigen. Der Modellfilter bleibt dagegen aktiv.</w:t>
      </w:r>
    </w:p>
    <w:p>
      <w:pPr>
        <w:pStyle w:val="Heading1"/>
        <w:pageBreakBefore/>
      </w:pPr>
      <w:r>
        <w:t>6. KPI-Karten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</w:tcPr>
          <w:p>
            <w:r>
              <w:t>KPI-Karte</w:t>
            </w:r>
          </w:p>
        </w:tc>
        <w:tc>
          <w:tcPr>
            <w:tcW w:type="dxa" w:w="4844"/>
            <w:shd w:fill="D9EAD3"/>
          </w:tcPr>
          <w:p>
            <w:r>
              <w:t>Ungefilterter Wert</w:t>
            </w:r>
          </w:p>
        </w:tc>
      </w:tr>
      <w:tr>
        <w:tc>
          <w:tcPr>
            <w:tcW w:type="dxa" w:w="4844"/>
          </w:tcPr>
          <w:p>
            <w:r>
              <w:t>Gesamtzahl Betriebspunkte</w:t>
            </w:r>
          </w:p>
        </w:tc>
        <w:tc>
          <w:tcPr>
            <w:tcW w:type="dxa" w:w="4844"/>
          </w:tcPr>
          <w:p>
            <w:r>
              <w:t>500</w:t>
            </w:r>
          </w:p>
        </w:tc>
      </w:tr>
      <w:tr>
        <w:tc>
          <w:tcPr>
            <w:tcW w:type="dxa" w:w="4844"/>
          </w:tcPr>
          <w:p>
            <w:r>
              <w:t>SAFE-Anteil</w:t>
            </w:r>
          </w:p>
        </w:tc>
        <w:tc>
          <w:tcPr>
            <w:tcW w:type="dxa" w:w="4844"/>
          </w:tcPr>
          <w:p>
            <w:r>
              <w:t>46,20 %</w:t>
            </w:r>
          </w:p>
        </w:tc>
      </w:tr>
      <w:tr>
        <w:tc>
          <w:tcPr>
            <w:tcW w:type="dxa" w:w="4844"/>
          </w:tcPr>
          <w:p>
            <w:r>
              <w:t>NOT-SAFE-Anteil</w:t>
            </w:r>
          </w:p>
        </w:tc>
        <w:tc>
          <w:tcPr>
            <w:tcW w:type="dxa" w:w="4844"/>
          </w:tcPr>
          <w:p>
            <w:r>
              <w:t>40,0 %</w:t>
            </w:r>
          </w:p>
        </w:tc>
      </w:tr>
      <w:tr>
        <w:tc>
          <w:tcPr>
            <w:tcW w:type="dxa" w:w="4844"/>
          </w:tcPr>
          <w:p>
            <w:r>
              <w:t>Maximale Sperrschichttemperatur</w:t>
            </w:r>
          </w:p>
        </w:tc>
        <w:tc>
          <w:tcPr>
            <w:tcW w:type="dxa" w:w="4844"/>
          </w:tcPr>
          <w:p>
            <w:r>
              <w:t>256,92 °C</w:t>
            </w:r>
          </w:p>
        </w:tc>
      </w:tr>
    </w:tbl>
    <w:p>
      <w:r>
        <w:t>Die Karten bilden die wichtigsten Kennzahlen der Analyse kompakt ab. Technische Feldbezeichnungen wurden weitgehend ausgeblendet und Einheiten direkt ergänzt.</w:t>
      </w:r>
    </w:p>
    <w:p>
      <w:pPr>
        <w:pStyle w:val="Heading1"/>
      </w:pPr>
      <w:r>
        <w:t>7. Statusverteilung</w:t>
      </w:r>
    </w:p>
    <w:p>
      <w:r>
        <w:t>Das erste Säulendiagramm zeigt die Anzahl der Betriebspunkte nach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</w:tcPr>
          <w:p>
            <w:r>
              <w:t>Status</w:t>
            </w:r>
          </w:p>
        </w:tc>
        <w:tc>
          <w:tcPr>
            <w:tcW w:type="dxa" w:w="4844"/>
            <w:shd w:fill="D9EAD3"/>
          </w:tcPr>
          <w:p>
            <w:r>
              <w:t>Anzahl</w:t>
            </w:r>
          </w:p>
        </w:tc>
      </w:tr>
      <w:tr>
        <w:tc>
          <w:tcPr>
            <w:tcW w:type="dxa" w:w="4844"/>
          </w:tcPr>
          <w:p>
            <w:r>
              <w:t>SAFE</w:t>
            </w:r>
          </w:p>
        </w:tc>
        <w:tc>
          <w:tcPr>
            <w:tcW w:type="dxa" w:w="4844"/>
          </w:tcPr>
          <w:p>
            <w:r>
              <w:t>231</w:t>
            </w:r>
          </w:p>
        </w:tc>
      </w:tr>
      <w:tr>
        <w:tc>
          <w:tcPr>
            <w:tcW w:type="dxa" w:w="4844"/>
          </w:tcPr>
          <w:p>
            <w:r>
              <w:t>NOT SAFE</w:t>
            </w:r>
          </w:p>
        </w:tc>
        <w:tc>
          <w:tcPr>
            <w:tcW w:type="dxa" w:w="4844"/>
          </w:tcPr>
          <w:p>
            <w:r>
              <w:t>200</w:t>
            </w:r>
          </w:p>
        </w:tc>
      </w:tr>
      <w:tr>
        <w:tc>
          <w:tcPr>
            <w:tcW w:type="dxa" w:w="4844"/>
          </w:tcPr>
          <w:p>
            <w:r>
              <w:t>CRITICAL</w:t>
            </w:r>
          </w:p>
        </w:tc>
        <w:tc>
          <w:tcPr>
            <w:tcW w:type="dxa" w:w="4844"/>
          </w:tcPr>
          <w:p>
            <w:r>
              <w:t>69</w:t>
            </w:r>
          </w:p>
        </w:tc>
      </w:tr>
    </w:tbl>
    <w:p>
      <w:r>
        <w:t>Als Wert wird die Anzahl von idx verwendet. Eine anfängliche Summierung der Indexwerte wurde auf Anzahl korrigiert.</w:t>
      </w:r>
    </w:p>
    <w:p>
      <w:pPr>
        <w:pStyle w:val="Heading1"/>
      </w:pPr>
      <w:r>
        <w:t>8. Vergleich der Transistormodelle</w:t>
      </w:r>
    </w:p>
    <w:p>
      <w:r>
        <w:t>Das zweite Säulendiagramm zeigt die durchschnittliche Sperrschichttemperatur je Transistormodell.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D3"/>
          </w:tcPr>
          <w:p>
            <w:r>
              <w:t>Transistormodell</w:t>
            </w:r>
          </w:p>
        </w:tc>
        <w:tc>
          <w:tcPr>
            <w:tcW w:type="dxa" w:w="4844"/>
            <w:shd w:fill="D9EAD3"/>
          </w:tcPr>
          <w:p>
            <w:r>
              <w:t>Durchschnittliche Tj</w:t>
            </w:r>
          </w:p>
        </w:tc>
      </w:tr>
      <w:tr>
        <w:tc>
          <w:tcPr>
            <w:tcW w:type="dxa" w:w="4844"/>
          </w:tcPr>
          <w:p>
            <w:r>
              <w:t>DEMO_MOSFET_02</w:t>
            </w:r>
          </w:p>
        </w:tc>
        <w:tc>
          <w:tcPr>
            <w:tcW w:type="dxa" w:w="4844"/>
          </w:tcPr>
          <w:p>
            <w:r>
              <w:t>157,81 °C</w:t>
            </w:r>
          </w:p>
        </w:tc>
      </w:tr>
      <w:tr>
        <w:tc>
          <w:tcPr>
            <w:tcW w:type="dxa" w:w="4844"/>
          </w:tcPr>
          <w:p>
            <w:r>
              <w:t>DEMO_MOSFET_01</w:t>
            </w:r>
          </w:p>
        </w:tc>
        <w:tc>
          <w:tcPr>
            <w:tcW w:type="dxa" w:w="4844"/>
          </w:tcPr>
          <w:p>
            <w:r>
              <w:t>139,92 °C</w:t>
            </w:r>
          </w:p>
        </w:tc>
      </w:tr>
      <w:tr>
        <w:tc>
          <w:tcPr>
            <w:tcW w:type="dxa" w:w="4844"/>
          </w:tcPr>
          <w:p>
            <w:r>
              <w:t>DEMO_BJT_01</w:t>
            </w:r>
          </w:p>
        </w:tc>
        <w:tc>
          <w:tcPr>
            <w:tcW w:type="dxa" w:w="4844"/>
          </w:tcPr>
          <w:p>
            <w:r>
              <w:t>132,69 °C</w:t>
            </w:r>
          </w:p>
        </w:tc>
      </w:tr>
    </w:tbl>
    <w:p>
      <w:r>
        <w:t>Damit wird sichtbar, dass DEMO_MOSFET_02 im Testdatensatz die höchste durchschnittliche Sperrschichttemperatur aufweist.</w:t>
      </w:r>
    </w:p>
    <w:p>
      <w:pPr>
        <w:pStyle w:val="Heading1"/>
      </w:pPr>
      <w:r>
        <w:t>9. Interaktive Datenschnitte</w:t>
      </w:r>
    </w:p>
    <w:p>
      <w:r>
        <w:t>Zur interaktiven Analyse wurden zwei Datenschnitte ergänzt:</w:t>
      </w:r>
    </w:p>
    <w:p>
      <w:pPr>
        <w:pStyle w:val="ListBullet"/>
      </w:pPr>
      <w:r>
        <w:t>Transistormodell auf Basis von results[transistor_id]</w:t>
      </w:r>
    </w:p>
    <w:p>
      <w:pPr>
        <w:pStyle w:val="ListBullet"/>
      </w:pPr>
      <w:r>
        <w:t>Status auf Basis von results[Status_Kurz]</w:t>
      </w:r>
    </w:p>
    <w:p>
      <w:r>
        <w:t>Der Modellfilter wirkt auf alle KPIs und Diagramme. Der Statusfilter wirkt auf die Gesamtzahl, die Statusverteilung und die durchschnittliche Temperatur. SAFE-Anteil, NOT-SAFE-Anteil und maximale Tj bleiben modellbezogene Kennzahlen.</w:t>
      </w:r>
    </w:p>
    <w:p>
      <w:pPr>
        <w:pStyle w:val="Heading1"/>
      </w:pPr>
      <w:r>
        <w:t>10. Interaktionstest</w:t>
      </w:r>
    </w:p>
    <w:p>
      <w:r>
        <w:t>Die Filterlogik wurde mit mehreren Kombinationen geprüft. Für DEMO_MOSFET_01 wurden folgende Fallzahlen bestätigt:</w:t>
      </w:r>
    </w:p>
    <w:p>
      <w:pPr>
        <w:pStyle w:val="CodeBlock"/>
      </w:pPr>
      <w:r>
        <w:t>SAFE:      67</w:t>
        <w:br/>
        <w:t>CRITICAL:  26</w:t>
        <w:br/>
        <w:t>NOT SAFE:  74</w:t>
        <w:br/>
        <w:t>Gesamt:   167</w:t>
      </w:r>
    </w:p>
    <w:p>
      <w:r>
        <w:t>Die Summe der Teilmengen entspricht der Gesamtzahl. Auch die Temperaturkennzahlen verhalten sich plausibel: sichere Fälle liegen niedriger, kritische Fälle nahe der Grenze und NOT-SAFE-Fälle deutlich darüber.</w:t>
      </w:r>
    </w:p>
    <w:p>
      <w:pPr>
        <w:pStyle w:val="Heading1"/>
      </w:pPr>
      <w:r>
        <w:t>11. Finales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4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a890e6-96e6-46cf-be61-ab429d8687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1: Ungefilterte Startansicht des finalen Power-BI-Dashboards</w:t>
      </w:r>
    </w:p>
    <w:p>
      <w:r>
        <w:t>Die Startansicht zeigt alle 500 Betriebspunkte ohne aktive Auswahl. Die Datei wurde als TransiSafe_2_0_Dashboard.pbix gespeichert.</w:t>
      </w:r>
    </w:p>
    <w:p>
      <w:pPr>
        <w:pStyle w:val="Heading1"/>
      </w:pPr>
      <w:r>
        <w:t>12. Bewertung</w:t>
      </w:r>
    </w:p>
    <w:p>
      <w:pPr>
        <w:pStyle w:val="ListBullet"/>
      </w:pPr>
      <w:r>
        <w:t>CSV-Daten wurden korrekt importiert und typisiert.</w:t>
      </w:r>
    </w:p>
    <w:p>
      <w:pPr>
        <w:pStyle w:val="ListBullet"/>
      </w:pPr>
      <w:r>
        <w:t>KPI-Karten zeigen die erwarteten Gesamtwerte.</w:t>
      </w:r>
    </w:p>
    <w:p>
      <w:pPr>
        <w:pStyle w:val="ListBullet"/>
      </w:pPr>
      <w:r>
        <w:t>Statusverteilung und Modellvergleich sind fachlich konsistent.</w:t>
      </w:r>
    </w:p>
    <w:p>
      <w:pPr>
        <w:pStyle w:val="ListBullet"/>
      </w:pPr>
      <w:r>
        <w:t>DAX-Measures reagieren auf Modellfilter.</w:t>
      </w:r>
    </w:p>
    <w:p>
      <w:pPr>
        <w:pStyle w:val="ListBullet"/>
      </w:pPr>
      <w:r>
        <w:t>Die Statusdarstellung ist durch Status_Kurz deutlich lesbarer.</w:t>
      </w:r>
    </w:p>
    <w:p>
      <w:pPr>
        <w:pStyle w:val="ListBullet"/>
      </w:pPr>
      <w:r>
        <w:t>Datenschnitte ermöglichen eine interaktive Detailanalyse.</w:t>
      </w:r>
    </w:p>
    <w:p>
      <w:pPr>
        <w:pStyle w:val="ListBullet"/>
      </w:pPr>
      <w:r>
        <w:t>Die PBIX-Datei wurde erfolgreich gespeichert.</w:t>
      </w:r>
    </w:p>
    <w:p>
      <w:pPr>
        <w:pStyle w:val="Heading1"/>
      </w:pPr>
      <w:r>
        <w:t>13. Mehrwert des Dashboards</w:t>
      </w:r>
    </w:p>
    <w:p>
      <w:r>
        <w:t>Das Dashboard verbindet Engineering-Berechnungen mit Business Intelligence. Technische Detaildaten werden zu verständlichen KPIs und Diagrammen verdichtet. Dadurch können sowohl Entwickler als auch fachfremde Entscheidungsträger kritische Zustände, Modellunterschiede und Sicherheitsanteile schnell erkennen.</w:t>
      </w:r>
    </w:p>
    <w:p>
      <w:pPr>
        <w:pStyle w:val="Heading1"/>
      </w:pPr>
      <w:r>
        <w:t>14. Grenzen und offene Punkte</w:t>
      </w:r>
    </w:p>
    <w:p>
      <w:pPr>
        <w:pStyle w:val="ListBullet"/>
      </w:pPr>
      <w:r>
        <w:t>Die Daten basieren weiterhin auf synthetischen Betriebspunkten.</w:t>
      </w:r>
    </w:p>
    <w:p>
      <w:pPr>
        <w:pStyle w:val="ListBullet"/>
      </w:pPr>
      <w:r>
        <w:t>Die Transistormodelle verwenden Demonstrationsparameter.</w:t>
      </w:r>
    </w:p>
    <w:p>
      <w:pPr>
        <w:pStyle w:val="ListBullet"/>
      </w:pPr>
      <w:r>
        <w:t>Das Dashboard besteht bisher aus einer Seite.</w:t>
      </w:r>
    </w:p>
    <w:p>
      <w:pPr>
        <w:pStyle w:val="ListBullet"/>
      </w:pPr>
      <w:r>
        <w:t>Zeitreihen, Drillthrough und Detailtabellen sind noch nicht enthalten.</w:t>
      </w:r>
    </w:p>
    <w:p>
      <w:pPr>
        <w:pStyle w:val="ListBullet"/>
      </w:pPr>
      <w:r>
        <w:t>Eine Veröffentlichung im Power BI Service wurde nicht durchgeführt.</w:t>
      </w:r>
    </w:p>
    <w:p>
      <w:pPr>
        <w:pStyle w:val="Heading1"/>
      </w:pPr>
      <w:r>
        <w:t>15. Ergebnis des Entwicklungsschritts</w:t>
      </w:r>
    </w:p>
    <w:p>
      <w:r>
        <w:t>Entwicklungsschritt 9 wurde erfolgreich abgeschlossen. TransiSafe 2.0 besitzt nun neben der C-basierten Analyse auch eine interaktive Visualisierungsebene. Die Projektkette reicht damit vom Betriebspunkt über die technische Bewertung und KPI-Berechnung bis zum filterbaren Power-BI-Dashboard.</w:t>
      </w:r>
    </w:p>
    <w:p>
      <w:pPr>
        <w:pStyle w:val="CodeBlock"/>
      </w:pPr>
      <w:r>
        <w:t>Betriebspunktdaten</w:t>
        <w:br/>
        <w:t>-&gt; C-Analyse</w:t>
        <w:br/>
        <w:t>-&gt; results.csv / summary.csv</w:t>
        <w:br/>
        <w:t>-&gt; DAX-Measures</w:t>
        <w:br/>
        <w:t>-&gt; interaktives Power-BI-Dashboard</w:t>
      </w:r>
    </w:p>
    <w:p>
      <w:pPr>
        <w:pStyle w:val="Heading1"/>
      </w:pPr>
      <w:r>
        <w:t>Kurzer Änderungsverlauf für GitHub</w:t>
      </w:r>
    </w:p>
    <w:p>
      <w:pPr>
        <w:pStyle w:val="CodeBlock"/>
      </w:pPr>
      <w:r>
        <w:t>## Schritt 9: Power-BI-Dashboard</w:t>
        <w:br/>
        <w:br/>
        <w:t>### Hinzugefügt</w:t>
        <w:br/>
        <w:t>- Import von results.csv und summary.csv</w:t>
        <w:br/>
        <w:t>- Gebietsschema-basierte Datentypkorrektur</w:t>
        <w:br/>
        <w:t>- berechnete Spalte Status_Kurz</w:t>
        <w:br/>
        <w:t>- interaktive DAX-Measures</w:t>
        <w:br/>
        <w:t>- KPI-Karten</w:t>
        <w:br/>
        <w:t>- Statusverteilung</w:t>
        <w:br/>
        <w:t>- Modellvergleich</w:t>
        <w:br/>
        <w:t>- Datenschnitte für Modell und Status</w:t>
        <w:br/>
        <w:t>- angepasste Visual-Interaktionen</w:t>
        <w:br/>
        <w:br/>
        <w:t>### Ergebnis</w:t>
        <w:br/>
        <w:t>- 500 Betriebspunkte visualisiert</w:t>
        <w:br/>
        <w:t>- 46,20 % SAFE</w:t>
        <w:br/>
        <w:t>- 40,0 % NOT SAFE</w:t>
        <w:br/>
        <w:t>- maximale Tj: 256,92 °C</w:t>
        <w:br/>
        <w:t>- PBIX-Datei erfolgreich gespeichert</w:t>
      </w:r>
    </w:p>
    <w:sectPr w:rsidR="00FC693F" w:rsidRPr="0006063C" w:rsidSect="00034616"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5" w:right="255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