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12</w:t>
      </w:r>
    </w:p>
    <w:p>
      <w:pPr>
        <w:jc w:val="center"/>
      </w:pPr>
      <w:r>
        <w:rPr>
          <w:rFonts w:ascii="Arial" w:hAnsi="Arial"/>
          <w:b/>
          <w:sz w:val="34"/>
        </w:rPr>
        <w:t>Handlungsempfehlungen je Sicherheitsstatus</w:t>
      </w:r>
    </w:p>
    <w:p>
      <w:pPr>
        <w:jc w:val="center"/>
      </w:pPr>
      <w:r>
        <w:rPr>
          <w:rFonts w:ascii="Arial" w:hAnsi="Arial"/>
          <w:sz w:val="24"/>
        </w:rPr>
        <w:br/>
        <w:t>Projekt: TransiSafe 2.0</w:t>
        <w:br/>
        <w:t>Engineering Safety Analysis</w:t>
      </w:r>
    </w:p>
    <w:p>
      <w:pPr>
        <w:jc w:val="center"/>
      </w:pPr>
      <w:r>
        <w:br/>
        <w:t>Dokumentation der Recommended-Action-Logik und des handlungsorientierten CSV-Exports.</w:t>
      </w:r>
    </w:p>
    <w:p>
      <w:r>
        <w:br w:type="page"/>
      </w:r>
    </w:p>
    <w:p>
      <w:pPr>
        <w:pStyle w:val="Heading1"/>
        <w:keepNext/>
      </w:pPr>
      <w:r>
        <w:t>1. Ziel des Entwicklungsschritts</w:t>
      </w:r>
    </w:p>
    <w:p>
      <w:pPr/>
      <w:r>
        <w:t>Im zwölften Entwicklungsschritt wurde die in Schritt 11 eingeführte Priorisierung um eine konkrete Handlungsempfehlung ergänzt. Ziel war es, einen bewerteten Betriebspunkt nicht nur zu klassifizieren und zu priorisieren, sondern unmittelbar mit einer verständlichen nächsten Aktion zu verbinden.</w:t>
      </w:r>
    </w:p>
    <w:p>
      <w:pPr/>
      <w:r>
        <w:t>TransiSafe entwickelt sich damit von einer reinen Analyseanwendung in Richtung eines einfachen Engineering Decision-Support Tools.</w:t>
      </w:r>
    </w:p>
    <w:p>
      <w:pPr>
        <w:pStyle w:val="Heading1"/>
        <w:keepNext/>
      </w:pPr>
      <w:r>
        <w:t>2. Technische Erweiterung</w:t>
      </w:r>
    </w:p>
    <w:p>
      <w:pPr/>
      <w:r>
        <w:t>Die Handlungsempfehlung wird mit einer festen Zuordnung aus dem SafetyStatus erzeugt. Die Funktion ist unabhängig von der CSV-Ausgabe und kann dadurch auch in der Konsolendarstellung verwendet werden.</w:t>
      </w:r>
    </w:p>
    <w:p>
      <w:pPr>
        <w:pStyle w:val="CodeBlock"/>
      </w:pPr>
      <w:r>
        <w:t>static const char* recommended_action_from_status(SafetyStatus status)</w:t>
        <w:br/>
        <w:t>{</w:t>
        <w:br/>
        <w:t xml:space="preserve">    switch (status) {</w:t>
        <w:br/>
        <w:t xml:space="preserve">    case STATUS_NOT_SAFE_BOTH:</w:t>
        <w:br/>
        <w:t xml:space="preserve">        return "Immediate technical review";</w:t>
        <w:br/>
        <w:t xml:space="preserve">    case STATUS_NOT_SAFE_TEMPERATURE:</w:t>
        <w:br/>
        <w:t xml:space="preserve">        return "Correct thermal operating condition";</w:t>
        <w:br/>
        <w:t xml:space="preserve">    case STATUS_NOT_SAFE_POWER:</w:t>
        <w:br/>
        <w:t xml:space="preserve">        return "Correct electrical operating condition";</w:t>
        <w:br/>
        <w:t xml:space="preserve">    case STATUS_CRITICAL:</w:t>
        <w:br/>
        <w:t xml:space="preserve">        return "Monitor / investigate";</w:t>
        <w:br/>
        <w:t xml:space="preserve">    case STATUS_SAFE:</w:t>
        <w:br/>
        <w:t xml:space="preserve">        return "No immediate action";</w:t>
        <w:br/>
        <w:t xml:space="preserve">    default:</w:t>
        <w:br/>
        <w:t xml:space="preserve">        return "Review required";</w:t>
        <w:br/>
        <w:t xml:space="preserve">    }</w:t>
        <w:br/>
        <w:t>}</w:t>
      </w:r>
    </w:p>
    <w:p>
      <w:pPr>
        <w:pStyle w:val="Heading1"/>
        <w:keepNext/>
      </w:pPr>
      <w:r>
        <w:t>3. Zuordnung von Status und Handlung</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tcMar>
              <w:top w:w="70" w:type="dxa"/>
              <w:start w:w="80" w:type="dxa"/>
              <w:bottom w:w="70" w:type="dxa"/>
              <w:end w:w="80" w:type="dxa"/>
            </w:tcMar>
            <w:shd w:fill="D9EAD3"/>
          </w:tcPr>
          <w:p>
            <w:pPr>
              <w:spacing w:before="0" w:after="0"/>
            </w:pPr>
            <w:r>
              <w:rPr>
                <w:rFonts w:ascii="Arial" w:hAnsi="Arial"/>
                <w:b/>
                <w:sz w:val="18"/>
              </w:rPr>
              <w:t>Status</w:t>
            </w:r>
          </w:p>
        </w:tc>
        <w:tc>
          <w:tcPr>
            <w:tcW w:type="dxa" w:w="3286"/>
            <w:vAlign w:val="center"/>
            <w:tcMar>
              <w:top w:w="70" w:type="dxa"/>
              <w:start w:w="80" w:type="dxa"/>
              <w:bottom w:w="70" w:type="dxa"/>
              <w:end w:w="80" w:type="dxa"/>
            </w:tcMar>
            <w:shd w:fill="D9EAD3"/>
          </w:tcPr>
          <w:p>
            <w:pPr>
              <w:spacing w:before="0" w:after="0"/>
            </w:pPr>
            <w:r>
              <w:rPr>
                <w:rFonts w:ascii="Arial" w:hAnsi="Arial"/>
                <w:b/>
                <w:sz w:val="18"/>
              </w:rPr>
              <w:t>Priority</w:t>
            </w:r>
          </w:p>
        </w:tc>
        <w:tc>
          <w:tcPr>
            <w:tcW w:type="dxa" w:w="3286"/>
            <w:vAlign w:val="center"/>
            <w:tcMar>
              <w:top w:w="70" w:type="dxa"/>
              <w:start w:w="80" w:type="dxa"/>
              <w:bottom w:w="70" w:type="dxa"/>
              <w:end w:w="80" w:type="dxa"/>
            </w:tcMar>
            <w:shd w:fill="D9EAD3"/>
          </w:tcPr>
          <w:p>
            <w:pPr>
              <w:spacing w:before="0" w:after="0"/>
            </w:pPr>
            <w:r>
              <w:rPr>
                <w:rFonts w:ascii="Arial" w:hAnsi="Arial"/>
                <w:b/>
                <w:sz w:val="18"/>
              </w:rPr>
              <w:t>Recommended Action</w:t>
            </w:r>
          </w:p>
        </w:tc>
      </w:tr>
      <w:tr>
        <w:tc>
          <w:tcPr>
            <w:tcW w:type="dxa" w:w="3286"/>
            <w:vAlign w:val="center"/>
            <w:tcMar>
              <w:top w:w="70" w:type="dxa"/>
              <w:start w:w="80" w:type="dxa"/>
              <w:bottom w:w="70" w:type="dxa"/>
              <w:end w:w="80" w:type="dxa"/>
            </w:tcMar>
          </w:tcPr>
          <w:p>
            <w:pPr>
              <w:spacing w:before="0" w:after="0"/>
            </w:pPr>
            <w:r>
              <w:rPr>
                <w:rFonts w:ascii="Arial" w:hAnsi="Arial"/>
                <w:sz w:val="18"/>
              </w:rPr>
              <w:t>NOT_SAFE_BOTH</w:t>
            </w:r>
          </w:p>
        </w:tc>
        <w:tc>
          <w:tcPr>
            <w:tcW w:type="dxa" w:w="3286"/>
            <w:vAlign w:val="center"/>
            <w:tcMar>
              <w:top w:w="70" w:type="dxa"/>
              <w:start w:w="80" w:type="dxa"/>
              <w:bottom w:w="70" w:type="dxa"/>
              <w:end w:w="80" w:type="dxa"/>
            </w:tcMar>
          </w:tcPr>
          <w:p>
            <w:pPr>
              <w:spacing w:before="0" w:after="0"/>
            </w:pPr>
            <w:r>
              <w:rPr>
                <w:rFonts w:ascii="Arial" w:hAnsi="Arial"/>
                <w:sz w:val="18"/>
              </w:rPr>
              <w:t>1</w:t>
            </w:r>
          </w:p>
        </w:tc>
        <w:tc>
          <w:tcPr>
            <w:tcW w:type="dxa" w:w="3286"/>
            <w:vAlign w:val="center"/>
            <w:tcMar>
              <w:top w:w="70" w:type="dxa"/>
              <w:start w:w="80" w:type="dxa"/>
              <w:bottom w:w="70" w:type="dxa"/>
              <w:end w:w="80" w:type="dxa"/>
            </w:tcMar>
          </w:tcPr>
          <w:p>
            <w:pPr>
              <w:spacing w:before="0" w:after="0"/>
            </w:pPr>
            <w:r>
              <w:rPr>
                <w:rFonts w:ascii="Arial" w:hAnsi="Arial"/>
                <w:sz w:val="18"/>
              </w:rPr>
              <w:t>Immediate technical review</w:t>
            </w:r>
          </w:p>
        </w:tc>
      </w:tr>
      <w:tr>
        <w:tc>
          <w:tcPr>
            <w:tcW w:type="dxa" w:w="3286"/>
            <w:vAlign w:val="center"/>
            <w:tcMar>
              <w:top w:w="70" w:type="dxa"/>
              <w:start w:w="80" w:type="dxa"/>
              <w:bottom w:w="70" w:type="dxa"/>
              <w:end w:w="80" w:type="dxa"/>
            </w:tcMar>
          </w:tcPr>
          <w:p>
            <w:pPr>
              <w:spacing w:before="0" w:after="0"/>
            </w:pPr>
            <w:r>
              <w:rPr>
                <w:rFonts w:ascii="Arial" w:hAnsi="Arial"/>
                <w:sz w:val="18"/>
              </w:rPr>
              <w:t>NOT_SAFE_TEMPERATURE</w:t>
            </w:r>
          </w:p>
        </w:tc>
        <w:tc>
          <w:tcPr>
            <w:tcW w:type="dxa" w:w="3286"/>
            <w:vAlign w:val="center"/>
            <w:tcMar>
              <w:top w:w="70" w:type="dxa"/>
              <w:start w:w="80" w:type="dxa"/>
              <w:bottom w:w="70" w:type="dxa"/>
              <w:end w:w="80" w:type="dxa"/>
            </w:tcMar>
          </w:tcPr>
          <w:p>
            <w:pPr>
              <w:spacing w:before="0" w:after="0"/>
            </w:pPr>
            <w:r>
              <w:rPr>
                <w:rFonts w:ascii="Arial" w:hAnsi="Arial"/>
                <w:sz w:val="18"/>
              </w:rPr>
              <w:t>2</w:t>
            </w:r>
          </w:p>
        </w:tc>
        <w:tc>
          <w:tcPr>
            <w:tcW w:type="dxa" w:w="3286"/>
            <w:vAlign w:val="center"/>
            <w:tcMar>
              <w:top w:w="70" w:type="dxa"/>
              <w:start w:w="80" w:type="dxa"/>
              <w:bottom w:w="70" w:type="dxa"/>
              <w:end w:w="80" w:type="dxa"/>
            </w:tcMar>
          </w:tcPr>
          <w:p>
            <w:pPr>
              <w:spacing w:before="0" w:after="0"/>
            </w:pPr>
            <w:r>
              <w:rPr>
                <w:rFonts w:ascii="Arial" w:hAnsi="Arial"/>
                <w:sz w:val="18"/>
              </w:rPr>
              <w:t>Correct thermal operating condition</w:t>
            </w:r>
          </w:p>
        </w:tc>
      </w:tr>
      <w:tr>
        <w:tc>
          <w:tcPr>
            <w:tcW w:type="dxa" w:w="3286"/>
            <w:vAlign w:val="center"/>
            <w:tcMar>
              <w:top w:w="70" w:type="dxa"/>
              <w:start w:w="80" w:type="dxa"/>
              <w:bottom w:w="70" w:type="dxa"/>
              <w:end w:w="80" w:type="dxa"/>
            </w:tcMar>
          </w:tcPr>
          <w:p>
            <w:pPr>
              <w:spacing w:before="0" w:after="0"/>
            </w:pPr>
            <w:r>
              <w:rPr>
                <w:rFonts w:ascii="Arial" w:hAnsi="Arial"/>
                <w:sz w:val="18"/>
              </w:rPr>
              <w:t>NOT_SAFE_POWER</w:t>
            </w:r>
          </w:p>
        </w:tc>
        <w:tc>
          <w:tcPr>
            <w:tcW w:type="dxa" w:w="3286"/>
            <w:vAlign w:val="center"/>
            <w:tcMar>
              <w:top w:w="70" w:type="dxa"/>
              <w:start w:w="80" w:type="dxa"/>
              <w:bottom w:w="70" w:type="dxa"/>
              <w:end w:w="80" w:type="dxa"/>
            </w:tcMar>
          </w:tcPr>
          <w:p>
            <w:pPr>
              <w:spacing w:before="0" w:after="0"/>
            </w:pPr>
            <w:r>
              <w:rPr>
                <w:rFonts w:ascii="Arial" w:hAnsi="Arial"/>
                <w:sz w:val="18"/>
              </w:rPr>
              <w:t>2</w:t>
            </w:r>
          </w:p>
        </w:tc>
        <w:tc>
          <w:tcPr>
            <w:tcW w:type="dxa" w:w="3286"/>
            <w:vAlign w:val="center"/>
            <w:tcMar>
              <w:top w:w="70" w:type="dxa"/>
              <w:start w:w="80" w:type="dxa"/>
              <w:bottom w:w="70" w:type="dxa"/>
              <w:end w:w="80" w:type="dxa"/>
            </w:tcMar>
          </w:tcPr>
          <w:p>
            <w:pPr>
              <w:spacing w:before="0" w:after="0"/>
            </w:pPr>
            <w:r>
              <w:rPr>
                <w:rFonts w:ascii="Arial" w:hAnsi="Arial"/>
                <w:sz w:val="18"/>
              </w:rPr>
              <w:t>Correct electrical operating condition</w:t>
            </w:r>
          </w:p>
        </w:tc>
      </w:tr>
      <w:tr>
        <w:tc>
          <w:tcPr>
            <w:tcW w:type="dxa" w:w="3286"/>
            <w:vAlign w:val="center"/>
            <w:tcMar>
              <w:top w:w="70" w:type="dxa"/>
              <w:start w:w="80" w:type="dxa"/>
              <w:bottom w:w="70" w:type="dxa"/>
              <w:end w:w="80" w:type="dxa"/>
            </w:tcMar>
          </w:tcPr>
          <w:p>
            <w:pPr>
              <w:spacing w:before="0" w:after="0"/>
            </w:pPr>
            <w:r>
              <w:rPr>
                <w:rFonts w:ascii="Arial" w:hAnsi="Arial"/>
                <w:sz w:val="18"/>
              </w:rPr>
              <w:t>CRITICAL</w:t>
            </w:r>
          </w:p>
        </w:tc>
        <w:tc>
          <w:tcPr>
            <w:tcW w:type="dxa" w:w="3286"/>
            <w:vAlign w:val="center"/>
            <w:tcMar>
              <w:top w:w="70" w:type="dxa"/>
              <w:start w:w="80" w:type="dxa"/>
              <w:bottom w:w="70" w:type="dxa"/>
              <w:end w:w="80" w:type="dxa"/>
            </w:tcMar>
          </w:tcPr>
          <w:p>
            <w:pPr>
              <w:spacing w:before="0" w:after="0"/>
            </w:pPr>
            <w:r>
              <w:rPr>
                <w:rFonts w:ascii="Arial" w:hAnsi="Arial"/>
                <w:sz w:val="18"/>
              </w:rPr>
              <w:t>3</w:t>
            </w:r>
          </w:p>
        </w:tc>
        <w:tc>
          <w:tcPr>
            <w:tcW w:type="dxa" w:w="3286"/>
            <w:vAlign w:val="center"/>
            <w:tcMar>
              <w:top w:w="70" w:type="dxa"/>
              <w:start w:w="80" w:type="dxa"/>
              <w:bottom w:w="70" w:type="dxa"/>
              <w:end w:w="80" w:type="dxa"/>
            </w:tcMar>
          </w:tcPr>
          <w:p>
            <w:pPr>
              <w:spacing w:before="0" w:after="0"/>
            </w:pPr>
            <w:r>
              <w:rPr>
                <w:rFonts w:ascii="Arial" w:hAnsi="Arial"/>
                <w:sz w:val="18"/>
              </w:rPr>
              <w:t>Monitor / investigate</w:t>
            </w:r>
          </w:p>
        </w:tc>
      </w:tr>
      <w:tr>
        <w:tc>
          <w:tcPr>
            <w:tcW w:type="dxa" w:w="3286"/>
            <w:vAlign w:val="center"/>
            <w:tcMar>
              <w:top w:w="70" w:type="dxa"/>
              <w:start w:w="80" w:type="dxa"/>
              <w:bottom w:w="70" w:type="dxa"/>
              <w:end w:w="80" w:type="dxa"/>
            </w:tcMar>
          </w:tcPr>
          <w:p>
            <w:pPr>
              <w:spacing w:before="0" w:after="0"/>
            </w:pPr>
            <w:r>
              <w:rPr>
                <w:rFonts w:ascii="Arial" w:hAnsi="Arial"/>
                <w:sz w:val="18"/>
              </w:rPr>
              <w:t>SAFE</w:t>
            </w:r>
          </w:p>
        </w:tc>
        <w:tc>
          <w:tcPr>
            <w:tcW w:type="dxa" w:w="3286"/>
            <w:vAlign w:val="center"/>
            <w:tcMar>
              <w:top w:w="70" w:type="dxa"/>
              <w:start w:w="80" w:type="dxa"/>
              <w:bottom w:w="70" w:type="dxa"/>
              <w:end w:w="80" w:type="dxa"/>
            </w:tcMar>
          </w:tcPr>
          <w:p>
            <w:pPr>
              <w:spacing w:before="0" w:after="0"/>
            </w:pPr>
            <w:r>
              <w:rPr>
                <w:rFonts w:ascii="Arial" w:hAnsi="Arial"/>
                <w:sz w:val="18"/>
              </w:rPr>
              <w:t>4</w:t>
            </w:r>
          </w:p>
        </w:tc>
        <w:tc>
          <w:tcPr>
            <w:tcW w:type="dxa" w:w="3286"/>
            <w:vAlign w:val="center"/>
            <w:tcMar>
              <w:top w:w="70" w:type="dxa"/>
              <w:start w:w="80" w:type="dxa"/>
              <w:bottom w:w="70" w:type="dxa"/>
              <w:end w:w="80" w:type="dxa"/>
            </w:tcMar>
          </w:tcPr>
          <w:p>
            <w:pPr>
              <w:spacing w:before="0" w:after="0"/>
            </w:pPr>
            <w:r>
              <w:rPr>
                <w:rFonts w:ascii="Arial" w:hAnsi="Arial"/>
                <w:sz w:val="18"/>
              </w:rPr>
              <w:t>No immediate action</w:t>
            </w:r>
          </w:p>
        </w:tc>
      </w:tr>
    </w:tbl>
    <w:p>
      <w:pPr/>
      <w:r>
        <w:t>Die Empfehlungen sind bewusst einfach formuliert. Sie stellen keine automatische Freigabe oder technische Reparaturanweisung dar, sondern eine nachvollziehbare nächste Prüfrichtung.</w:t>
      </w:r>
    </w:p>
    <w:p>
      <w:pPr>
        <w:pStyle w:val="Heading1"/>
        <w:keepNext/>
      </w:pPr>
      <w:r>
        <w:t>4. Erweiterung der Ausgabe</w:t>
      </w:r>
    </w:p>
    <w:p>
      <w:pPr/>
      <w:r>
        <w:t>Step 12 ergänzt results.csv um die neue Spalte recommended_action. Gleichzeitig wird die Empfehlung bei der Einzelanzeige eines Betriebspunkts in der Konsole ausgegeben.</w:t>
      </w:r>
    </w:p>
    <w:p>
      <w:pPr>
        <w:pStyle w:val="CodeBlock"/>
      </w:pPr>
      <w:r>
        <w:t>status,reason,priority,criticality_score,recommended_action,...</w:t>
      </w:r>
    </w:p>
    <w:p>
      <w:pPr/>
      <w:r>
        <w:t>Damit stehen Status, Priorität, Score und Handlungsempfehlung in einer Zeile zur Verfügung und können gemeinsam gefiltert oder visualisiert werden.</w:t>
      </w:r>
    </w:p>
    <w:p>
      <w:pPr>
        <w:pStyle w:val="Heading1"/>
        <w:keepNext/>
      </w:pPr>
      <w:r>
        <w:t>5. Testgrundlage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tcMar>
              <w:top w:w="70" w:type="dxa"/>
              <w:start w:w="80" w:type="dxa"/>
              <w:bottom w:w="70" w:type="dxa"/>
              <w:end w:w="80" w:type="dxa"/>
            </w:tcMar>
            <w:shd w:fill="D9EAD3"/>
          </w:tcPr>
          <w:p>
            <w:pPr>
              <w:spacing w:before="0" w:after="0"/>
            </w:pPr>
            <w:r>
              <w:rPr>
                <w:rFonts w:ascii="Arial" w:hAnsi="Arial"/>
                <w:b/>
                <w:sz w:val="18"/>
              </w:rPr>
              <w:t>Komponente</w:t>
            </w:r>
          </w:p>
        </w:tc>
        <w:tc>
          <w:tcPr>
            <w:tcW w:type="dxa" w:w="4929"/>
            <w:vAlign w:val="center"/>
            <w:tcMar>
              <w:top w:w="70" w:type="dxa"/>
              <w:start w:w="80" w:type="dxa"/>
              <w:bottom w:w="70" w:type="dxa"/>
              <w:end w:w="80" w:type="dxa"/>
            </w:tcMar>
            <w:shd w:fill="D9EAD3"/>
          </w:tcPr>
          <w:p>
            <w:pPr>
              <w:spacing w:before="0" w:after="0"/>
            </w:pPr>
            <w:r>
              <w:rPr>
                <w:rFonts w:ascii="Arial" w:hAnsi="Arial"/>
                <w:b/>
                <w:sz w:val="18"/>
              </w:rPr>
              <w:t>Verwendung</w:t>
            </w:r>
          </w:p>
        </w:tc>
      </w:tr>
      <w:tr>
        <w:tc>
          <w:tcPr>
            <w:tcW w:type="dxa" w:w="4929"/>
            <w:vAlign w:val="center"/>
            <w:tcMar>
              <w:top w:w="70" w:type="dxa"/>
              <w:start w:w="80" w:type="dxa"/>
              <w:bottom w:w="70" w:type="dxa"/>
              <w:end w:w="80" w:type="dxa"/>
            </w:tcMar>
          </w:tcPr>
          <w:p>
            <w:pPr>
              <w:spacing w:before="0" w:after="0"/>
            </w:pPr>
            <w:r>
              <w:rPr>
                <w:rFonts w:ascii="Arial" w:hAnsi="Arial"/>
                <w:sz w:val="18"/>
              </w:rPr>
              <w:t>Entwicklungsumgebung</w:t>
            </w:r>
          </w:p>
        </w:tc>
        <w:tc>
          <w:tcPr>
            <w:tcW w:type="dxa" w:w="4929"/>
            <w:vAlign w:val="center"/>
            <w:tcMar>
              <w:top w:w="70" w:type="dxa"/>
              <w:start w:w="80" w:type="dxa"/>
              <w:bottom w:w="70" w:type="dxa"/>
              <w:end w:w="80" w:type="dxa"/>
            </w:tcMar>
          </w:tcPr>
          <w:p>
            <w:pPr>
              <w:spacing w:before="0" w:after="0"/>
            </w:pPr>
            <w:r>
              <w:rPr>
                <w:rFonts w:ascii="Arial" w:hAnsi="Arial"/>
                <w:sz w:val="18"/>
              </w:rPr>
              <w:t>Microsoft Visual Studio unter Windows</w:t>
            </w:r>
          </w:p>
        </w:tc>
      </w:tr>
      <w:tr>
        <w:tc>
          <w:tcPr>
            <w:tcW w:type="dxa" w:w="4929"/>
            <w:vAlign w:val="center"/>
            <w:tcMar>
              <w:top w:w="70" w:type="dxa"/>
              <w:start w:w="80" w:type="dxa"/>
              <w:bottom w:w="70" w:type="dxa"/>
              <w:end w:w="80" w:type="dxa"/>
            </w:tcMar>
          </w:tcPr>
          <w:p>
            <w:pPr>
              <w:spacing w:before="0" w:after="0"/>
            </w:pPr>
            <w:r>
              <w:rPr>
                <w:rFonts w:ascii="Arial" w:hAnsi="Arial"/>
                <w:sz w:val="18"/>
              </w:rPr>
              <w:t>Programm</w:t>
            </w:r>
          </w:p>
        </w:tc>
        <w:tc>
          <w:tcPr>
            <w:tcW w:type="dxa" w:w="4929"/>
            <w:vAlign w:val="center"/>
            <w:tcMar>
              <w:top w:w="70" w:type="dxa"/>
              <w:start w:w="80" w:type="dxa"/>
              <w:bottom w:w="70" w:type="dxa"/>
              <w:end w:w="80" w:type="dxa"/>
            </w:tcMar>
          </w:tcPr>
          <w:p>
            <w:pPr>
              <w:spacing w:before="0" w:after="0"/>
            </w:pPr>
            <w:r>
              <w:rPr>
                <w:rFonts w:ascii="Arial" w:hAnsi="Arial"/>
                <w:sz w:val="18"/>
              </w:rPr>
              <w:t>P1_SOA.exe / TransiSafe 2.0</w:t>
            </w:r>
          </w:p>
        </w:tc>
      </w:tr>
      <w:tr>
        <w:tc>
          <w:tcPr>
            <w:tcW w:type="dxa" w:w="4929"/>
            <w:vAlign w:val="center"/>
            <w:tcMar>
              <w:top w:w="70" w:type="dxa"/>
              <w:start w:w="80" w:type="dxa"/>
              <w:bottom w:w="70" w:type="dxa"/>
              <w:end w:w="80" w:type="dxa"/>
            </w:tcMar>
          </w:tcPr>
          <w:p>
            <w:pPr>
              <w:spacing w:before="0" w:after="0"/>
            </w:pPr>
            <w:r>
              <w:rPr>
                <w:rFonts w:ascii="Arial" w:hAnsi="Arial"/>
                <w:sz w:val="18"/>
              </w:rPr>
              <w:t>Testumfang</w:t>
            </w:r>
          </w:p>
        </w:tc>
        <w:tc>
          <w:tcPr>
            <w:tcW w:type="dxa" w:w="4929"/>
            <w:vAlign w:val="center"/>
            <w:tcMar>
              <w:top w:w="70" w:type="dxa"/>
              <w:start w:w="80" w:type="dxa"/>
              <w:bottom w:w="70" w:type="dxa"/>
              <w:end w:w="80" w:type="dxa"/>
            </w:tcMar>
          </w:tcPr>
          <w:p>
            <w:pPr>
              <w:spacing w:before="0" w:after="0"/>
            </w:pPr>
            <w:r>
              <w:rPr>
                <w:rFonts w:ascii="Arial" w:hAnsi="Arial"/>
                <w:sz w:val="18"/>
              </w:rPr>
              <w:t>500 synthetische Betriebspunkte</w:t>
            </w:r>
          </w:p>
        </w:tc>
      </w:tr>
      <w:tr>
        <w:tc>
          <w:tcPr>
            <w:tcW w:type="dxa" w:w="4929"/>
            <w:vAlign w:val="center"/>
            <w:tcMar>
              <w:top w:w="70" w:type="dxa"/>
              <w:start w:w="80" w:type="dxa"/>
              <w:bottom w:w="70" w:type="dxa"/>
              <w:end w:w="80" w:type="dxa"/>
            </w:tcMar>
          </w:tcPr>
          <w:p>
            <w:pPr>
              <w:spacing w:before="0" w:after="0"/>
            </w:pPr>
            <w:r>
              <w:rPr>
                <w:rFonts w:ascii="Arial" w:hAnsi="Arial"/>
                <w:sz w:val="18"/>
              </w:rPr>
              <w:t>Detailausgabe</w:t>
            </w:r>
          </w:p>
        </w:tc>
        <w:tc>
          <w:tcPr>
            <w:tcW w:type="dxa" w:w="4929"/>
            <w:vAlign w:val="center"/>
            <w:tcMar>
              <w:top w:w="70" w:type="dxa"/>
              <w:start w:w="80" w:type="dxa"/>
              <w:bottom w:w="70" w:type="dxa"/>
              <w:end w:w="80" w:type="dxa"/>
            </w:tcMar>
          </w:tcPr>
          <w:p>
            <w:pPr>
              <w:spacing w:before="0" w:after="0"/>
            </w:pPr>
            <w:r>
              <w:rPr>
                <w:rFonts w:ascii="Arial" w:hAnsi="Arial"/>
                <w:sz w:val="18"/>
              </w:rPr>
              <w:t>results.csv mit 28 Spalten</w:t>
            </w:r>
          </w:p>
        </w:tc>
      </w:tr>
      <w:tr>
        <w:tc>
          <w:tcPr>
            <w:tcW w:type="dxa" w:w="4929"/>
            <w:vAlign w:val="center"/>
            <w:tcMar>
              <w:top w:w="70" w:type="dxa"/>
              <w:start w:w="80" w:type="dxa"/>
              <w:bottom w:w="70" w:type="dxa"/>
              <w:end w:w="80" w:type="dxa"/>
            </w:tcMar>
          </w:tcPr>
          <w:p>
            <w:pPr>
              <w:spacing w:before="0" w:after="0"/>
            </w:pPr>
            <w:r>
              <w:rPr>
                <w:rFonts w:ascii="Arial" w:hAnsi="Arial"/>
                <w:sz w:val="18"/>
              </w:rPr>
              <w:t>Neue Spalte</w:t>
            </w:r>
          </w:p>
        </w:tc>
        <w:tc>
          <w:tcPr>
            <w:tcW w:type="dxa" w:w="4929"/>
            <w:vAlign w:val="center"/>
            <w:tcMar>
              <w:top w:w="70" w:type="dxa"/>
              <w:start w:w="80" w:type="dxa"/>
              <w:bottom w:w="70" w:type="dxa"/>
              <w:end w:w="80" w:type="dxa"/>
            </w:tcMar>
          </w:tcPr>
          <w:p>
            <w:pPr>
              <w:spacing w:before="0" w:after="0"/>
            </w:pPr>
            <w:r>
              <w:rPr>
                <w:rFonts w:ascii="Arial" w:hAnsi="Arial"/>
                <w:sz w:val="18"/>
              </w:rPr>
              <w:t>recommended_action</w:t>
            </w:r>
          </w:p>
        </w:tc>
      </w:tr>
    </w:tbl>
    <w:p>
      <w:pPr>
        <w:pStyle w:val="Heading1"/>
        <w:keepNext/>
      </w:pPr>
      <w:r>
        <w:t>6. Ergebnisse des 500er-Tests</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tcMar>
              <w:top w:w="70" w:type="dxa"/>
              <w:start w:w="80" w:type="dxa"/>
              <w:bottom w:w="70" w:type="dxa"/>
              <w:end w:w="80" w:type="dxa"/>
            </w:tcMar>
            <w:shd w:fill="D9EAD3"/>
          </w:tcPr>
          <w:p>
            <w:pPr>
              <w:spacing w:before="0" w:after="0"/>
            </w:pPr>
            <w:r>
              <w:rPr>
                <w:rFonts w:ascii="Arial" w:hAnsi="Arial"/>
                <w:b/>
                <w:sz w:val="17"/>
              </w:rPr>
              <w:t>Recommended Action</w:t>
            </w:r>
          </w:p>
        </w:tc>
        <w:tc>
          <w:tcPr>
            <w:tcW w:type="dxa" w:w="3286"/>
            <w:vAlign w:val="center"/>
            <w:tcMar>
              <w:top w:w="70" w:type="dxa"/>
              <w:start w:w="80" w:type="dxa"/>
              <w:bottom w:w="70" w:type="dxa"/>
              <w:end w:w="80" w:type="dxa"/>
            </w:tcMar>
            <w:shd w:fill="D9EAD3"/>
          </w:tcPr>
          <w:p>
            <w:pPr>
              <w:spacing w:before="0" w:after="0"/>
            </w:pPr>
            <w:r>
              <w:rPr>
                <w:rFonts w:ascii="Arial" w:hAnsi="Arial"/>
                <w:b/>
                <w:sz w:val="17"/>
              </w:rPr>
              <w:t>Fälle</w:t>
            </w:r>
          </w:p>
        </w:tc>
        <w:tc>
          <w:tcPr>
            <w:tcW w:type="dxa" w:w="3286"/>
            <w:vAlign w:val="center"/>
            <w:tcMar>
              <w:top w:w="70" w:type="dxa"/>
              <w:start w:w="80" w:type="dxa"/>
              <w:bottom w:w="70" w:type="dxa"/>
              <w:end w:w="80" w:type="dxa"/>
            </w:tcMar>
            <w:shd w:fill="D9EAD3"/>
          </w:tcPr>
          <w:p>
            <w:pPr>
              <w:spacing w:before="0" w:after="0"/>
            </w:pPr>
            <w:r>
              <w:rPr>
                <w:rFonts w:ascii="Arial" w:hAnsi="Arial"/>
                <w:b/>
                <w:sz w:val="17"/>
              </w:rPr>
              <w:t>Zugehöriger Status</w:t>
            </w:r>
          </w:p>
        </w:tc>
      </w:tr>
      <w:tr>
        <w:tc>
          <w:tcPr>
            <w:tcW w:type="dxa" w:w="3286"/>
            <w:vAlign w:val="center"/>
            <w:tcMar>
              <w:top w:w="70" w:type="dxa"/>
              <w:start w:w="80" w:type="dxa"/>
              <w:bottom w:w="70" w:type="dxa"/>
              <w:end w:w="80" w:type="dxa"/>
            </w:tcMar>
          </w:tcPr>
          <w:p>
            <w:pPr>
              <w:spacing w:before="0" w:after="0"/>
            </w:pPr>
            <w:r>
              <w:rPr>
                <w:rFonts w:ascii="Arial" w:hAnsi="Arial"/>
                <w:sz w:val="17"/>
              </w:rPr>
              <w:t>Correct thermal operating condition</w:t>
            </w:r>
          </w:p>
        </w:tc>
        <w:tc>
          <w:tcPr>
            <w:tcW w:type="dxa" w:w="3286"/>
            <w:vAlign w:val="center"/>
            <w:tcMar>
              <w:top w:w="70" w:type="dxa"/>
              <w:start w:w="80" w:type="dxa"/>
              <w:bottom w:w="70" w:type="dxa"/>
              <w:end w:w="80" w:type="dxa"/>
            </w:tcMar>
          </w:tcPr>
          <w:p>
            <w:pPr>
              <w:spacing w:before="0" w:after="0"/>
            </w:pPr>
            <w:r>
              <w:rPr>
                <w:rFonts w:ascii="Arial" w:hAnsi="Arial"/>
                <w:sz w:val="17"/>
              </w:rPr>
              <w:t>200</w:t>
            </w:r>
          </w:p>
        </w:tc>
        <w:tc>
          <w:tcPr>
            <w:tcW w:type="dxa" w:w="3286"/>
            <w:vAlign w:val="center"/>
            <w:tcMar>
              <w:top w:w="70" w:type="dxa"/>
              <w:start w:w="80" w:type="dxa"/>
              <w:bottom w:w="70" w:type="dxa"/>
              <w:end w:w="80" w:type="dxa"/>
            </w:tcMar>
          </w:tcPr>
          <w:p>
            <w:pPr>
              <w:spacing w:before="0" w:after="0"/>
            </w:pPr>
            <w:r>
              <w:rPr>
                <w:rFonts w:ascii="Arial" w:hAnsi="Arial"/>
                <w:sz w:val="17"/>
              </w:rPr>
              <w:t>NOT_SAFE_TEMPERATURE</w:t>
            </w:r>
          </w:p>
        </w:tc>
      </w:tr>
      <w:tr>
        <w:tc>
          <w:tcPr>
            <w:tcW w:type="dxa" w:w="3286"/>
            <w:vAlign w:val="center"/>
            <w:tcMar>
              <w:top w:w="70" w:type="dxa"/>
              <w:start w:w="80" w:type="dxa"/>
              <w:bottom w:w="70" w:type="dxa"/>
              <w:end w:w="80" w:type="dxa"/>
            </w:tcMar>
          </w:tcPr>
          <w:p>
            <w:pPr>
              <w:spacing w:before="0" w:after="0"/>
            </w:pPr>
            <w:r>
              <w:rPr>
                <w:rFonts w:ascii="Arial" w:hAnsi="Arial"/>
                <w:sz w:val="17"/>
              </w:rPr>
              <w:t>Monitor / investigate</w:t>
            </w:r>
          </w:p>
        </w:tc>
        <w:tc>
          <w:tcPr>
            <w:tcW w:type="dxa" w:w="3286"/>
            <w:vAlign w:val="center"/>
            <w:tcMar>
              <w:top w:w="70" w:type="dxa"/>
              <w:start w:w="80" w:type="dxa"/>
              <w:bottom w:w="70" w:type="dxa"/>
              <w:end w:w="80" w:type="dxa"/>
            </w:tcMar>
          </w:tcPr>
          <w:p>
            <w:pPr>
              <w:spacing w:before="0" w:after="0"/>
            </w:pPr>
            <w:r>
              <w:rPr>
                <w:rFonts w:ascii="Arial" w:hAnsi="Arial"/>
                <w:sz w:val="17"/>
              </w:rPr>
              <w:t>69</w:t>
            </w:r>
          </w:p>
        </w:tc>
        <w:tc>
          <w:tcPr>
            <w:tcW w:type="dxa" w:w="3286"/>
            <w:vAlign w:val="center"/>
            <w:tcMar>
              <w:top w:w="70" w:type="dxa"/>
              <w:start w:w="80" w:type="dxa"/>
              <w:bottom w:w="70" w:type="dxa"/>
              <w:end w:w="80" w:type="dxa"/>
            </w:tcMar>
          </w:tcPr>
          <w:p>
            <w:pPr>
              <w:spacing w:before="0" w:after="0"/>
            </w:pPr>
            <w:r>
              <w:rPr>
                <w:rFonts w:ascii="Arial" w:hAnsi="Arial"/>
                <w:sz w:val="17"/>
              </w:rPr>
              <w:t>CRITICAL</w:t>
            </w:r>
          </w:p>
        </w:tc>
      </w:tr>
      <w:tr>
        <w:tc>
          <w:tcPr>
            <w:tcW w:type="dxa" w:w="3286"/>
            <w:vAlign w:val="center"/>
            <w:tcMar>
              <w:top w:w="70" w:type="dxa"/>
              <w:start w:w="80" w:type="dxa"/>
              <w:bottom w:w="70" w:type="dxa"/>
              <w:end w:w="80" w:type="dxa"/>
            </w:tcMar>
          </w:tcPr>
          <w:p>
            <w:pPr>
              <w:spacing w:before="0" w:after="0"/>
            </w:pPr>
            <w:r>
              <w:rPr>
                <w:rFonts w:ascii="Arial" w:hAnsi="Arial"/>
                <w:sz w:val="17"/>
              </w:rPr>
              <w:t>No immediate action</w:t>
            </w:r>
          </w:p>
        </w:tc>
        <w:tc>
          <w:tcPr>
            <w:tcW w:type="dxa" w:w="3286"/>
            <w:vAlign w:val="center"/>
            <w:tcMar>
              <w:top w:w="70" w:type="dxa"/>
              <w:start w:w="80" w:type="dxa"/>
              <w:bottom w:w="70" w:type="dxa"/>
              <w:end w:w="80" w:type="dxa"/>
            </w:tcMar>
          </w:tcPr>
          <w:p>
            <w:pPr>
              <w:spacing w:before="0" w:after="0"/>
            </w:pPr>
            <w:r>
              <w:rPr>
                <w:rFonts w:ascii="Arial" w:hAnsi="Arial"/>
                <w:sz w:val="17"/>
              </w:rPr>
              <w:t>231</w:t>
            </w:r>
          </w:p>
        </w:tc>
        <w:tc>
          <w:tcPr>
            <w:tcW w:type="dxa" w:w="3286"/>
            <w:vAlign w:val="center"/>
            <w:tcMar>
              <w:top w:w="70" w:type="dxa"/>
              <w:start w:w="80" w:type="dxa"/>
              <w:bottom w:w="70" w:type="dxa"/>
              <w:end w:w="80" w:type="dxa"/>
            </w:tcMar>
          </w:tcPr>
          <w:p>
            <w:pPr>
              <w:spacing w:before="0" w:after="0"/>
            </w:pPr>
            <w:r>
              <w:rPr>
                <w:rFonts w:ascii="Arial" w:hAnsi="Arial"/>
                <w:sz w:val="17"/>
              </w:rPr>
              <w:t>SAFE</w:t>
            </w:r>
          </w:p>
        </w:tc>
      </w:tr>
      <w:tr>
        <w:tc>
          <w:tcPr>
            <w:tcW w:type="dxa" w:w="3286"/>
            <w:vAlign w:val="center"/>
            <w:tcMar>
              <w:top w:w="70" w:type="dxa"/>
              <w:start w:w="80" w:type="dxa"/>
              <w:bottom w:w="70" w:type="dxa"/>
              <w:end w:w="80" w:type="dxa"/>
            </w:tcMar>
          </w:tcPr>
          <w:p>
            <w:pPr>
              <w:spacing w:before="0" w:after="0"/>
            </w:pPr>
            <w:r>
              <w:rPr>
                <w:rFonts w:ascii="Arial" w:hAnsi="Arial"/>
                <w:sz w:val="17"/>
              </w:rPr>
              <w:t>Immediate technical review</w:t>
            </w:r>
          </w:p>
        </w:tc>
        <w:tc>
          <w:tcPr>
            <w:tcW w:type="dxa" w:w="3286"/>
            <w:vAlign w:val="center"/>
            <w:tcMar>
              <w:top w:w="70" w:type="dxa"/>
              <w:start w:w="80" w:type="dxa"/>
              <w:bottom w:w="70" w:type="dxa"/>
              <w:end w:w="80" w:type="dxa"/>
            </w:tcMar>
          </w:tcPr>
          <w:p>
            <w:pPr>
              <w:spacing w:before="0" w:after="0"/>
            </w:pPr>
            <w:r>
              <w:rPr>
                <w:rFonts w:ascii="Arial" w:hAnsi="Arial"/>
                <w:sz w:val="17"/>
              </w:rPr>
              <w:t>0</w:t>
            </w:r>
          </w:p>
        </w:tc>
        <w:tc>
          <w:tcPr>
            <w:tcW w:type="dxa" w:w="3286"/>
            <w:vAlign w:val="center"/>
            <w:tcMar>
              <w:top w:w="70" w:type="dxa"/>
              <w:start w:w="80" w:type="dxa"/>
              <w:bottom w:w="70" w:type="dxa"/>
              <w:end w:w="80" w:type="dxa"/>
            </w:tcMar>
          </w:tcPr>
          <w:p>
            <w:pPr>
              <w:spacing w:before="0" w:after="0"/>
            </w:pPr>
            <w:r>
              <w:rPr>
                <w:rFonts w:ascii="Arial" w:hAnsi="Arial"/>
                <w:sz w:val="17"/>
              </w:rPr>
              <w:t>NOT_SAFE_BOTH</w:t>
            </w:r>
          </w:p>
        </w:tc>
      </w:tr>
      <w:tr>
        <w:tc>
          <w:tcPr>
            <w:tcW w:type="dxa" w:w="3286"/>
            <w:vAlign w:val="center"/>
            <w:tcMar>
              <w:top w:w="70" w:type="dxa"/>
              <w:start w:w="80" w:type="dxa"/>
              <w:bottom w:w="70" w:type="dxa"/>
              <w:end w:w="80" w:type="dxa"/>
            </w:tcMar>
          </w:tcPr>
          <w:p>
            <w:pPr>
              <w:spacing w:before="0" w:after="0"/>
            </w:pPr>
            <w:r>
              <w:rPr>
                <w:rFonts w:ascii="Arial" w:hAnsi="Arial"/>
                <w:sz w:val="17"/>
              </w:rPr>
              <w:t>Correct electrical operating condition</w:t>
            </w:r>
          </w:p>
        </w:tc>
        <w:tc>
          <w:tcPr>
            <w:tcW w:type="dxa" w:w="3286"/>
            <w:vAlign w:val="center"/>
            <w:tcMar>
              <w:top w:w="70" w:type="dxa"/>
              <w:start w:w="80" w:type="dxa"/>
              <w:bottom w:w="70" w:type="dxa"/>
              <w:end w:w="80" w:type="dxa"/>
            </w:tcMar>
          </w:tcPr>
          <w:p>
            <w:pPr>
              <w:spacing w:before="0" w:after="0"/>
            </w:pPr>
            <w:r>
              <w:rPr>
                <w:rFonts w:ascii="Arial" w:hAnsi="Arial"/>
                <w:sz w:val="17"/>
              </w:rPr>
              <w:t>0</w:t>
            </w:r>
          </w:p>
        </w:tc>
        <w:tc>
          <w:tcPr>
            <w:tcW w:type="dxa" w:w="3286"/>
            <w:vAlign w:val="center"/>
            <w:tcMar>
              <w:top w:w="70" w:type="dxa"/>
              <w:start w:w="80" w:type="dxa"/>
              <w:bottom w:w="70" w:type="dxa"/>
              <w:end w:w="80" w:type="dxa"/>
            </w:tcMar>
          </w:tcPr>
          <w:p>
            <w:pPr>
              <w:spacing w:before="0" w:after="0"/>
            </w:pPr>
            <w:r>
              <w:rPr>
                <w:rFonts w:ascii="Arial" w:hAnsi="Arial"/>
                <w:sz w:val="17"/>
              </w:rPr>
              <w:t>NOT_SAFE_POWER</w:t>
            </w:r>
          </w:p>
        </w:tc>
      </w:tr>
    </w:tbl>
    <w:p>
      <w:pPr/>
      <w:r>
        <w:t>Die Summen der tatsächlich vorkommenden Handlungsempfehlungen ergeben 500 Fälle. Damit ist die Status-zu-Aktion-Zuordnung für den verwendeten Testdatensatz vollständig.</w:t>
      </w:r>
    </w:p>
    <w:p>
      <w:pPr>
        <w:pStyle w:val="Heading1"/>
        <w:keepNext/>
      </w:pPr>
      <w:r>
        <w:t>7. Konsistenzprüfung</w:t>
      </w:r>
    </w:p>
    <w:p>
      <w:pPr/>
      <w:r>
        <w:t>Die 500 Datensätze wurden auf die Kombination aus status, priority und recommended_action geprüft. Im verwendeten Datensatz ergaben sich folgende konsistente Zuordnungen:</w:t>
      </w:r>
    </w:p>
    <w:tbl>
      <w:tblPr>
        <w:tblStyle w:val="TableGrid"/>
        <w:tblW w:type="auto" w:w="0"/>
        <w:jc w:val="center"/>
        <w:tblLayout w:type="autofit"/>
        <w:tblLook w:firstColumn="1" w:firstRow="1" w:lastColumn="0" w:lastRow="0" w:noHBand="0" w:noVBand="1" w:val="04A0"/>
      </w:tblPr>
      <w:tblGrid>
        <w:gridCol w:w="2464"/>
        <w:gridCol w:w="2464"/>
        <w:gridCol w:w="2464"/>
        <w:gridCol w:w="2464"/>
      </w:tblGrid>
      <w:tr>
        <w:tc>
          <w:tcPr>
            <w:tcW w:type="dxa" w:w="2464"/>
            <w:vAlign w:val="center"/>
            <w:tcMar>
              <w:top w:w="70" w:type="dxa"/>
              <w:start w:w="80" w:type="dxa"/>
              <w:bottom w:w="70" w:type="dxa"/>
              <w:end w:w="80" w:type="dxa"/>
            </w:tcMar>
            <w:shd w:fill="D9EAD3"/>
          </w:tcPr>
          <w:p>
            <w:pPr>
              <w:spacing w:before="0" w:after="0"/>
            </w:pPr>
            <w:r>
              <w:rPr>
                <w:rFonts w:ascii="Arial" w:hAnsi="Arial"/>
                <w:b/>
                <w:sz w:val="18"/>
              </w:rPr>
              <w:t>Status</w:t>
            </w:r>
          </w:p>
        </w:tc>
        <w:tc>
          <w:tcPr>
            <w:tcW w:type="dxa" w:w="2464"/>
            <w:vAlign w:val="center"/>
            <w:tcMar>
              <w:top w:w="70" w:type="dxa"/>
              <w:start w:w="80" w:type="dxa"/>
              <w:bottom w:w="70" w:type="dxa"/>
              <w:end w:w="80" w:type="dxa"/>
            </w:tcMar>
            <w:shd w:fill="D9EAD3"/>
          </w:tcPr>
          <w:p>
            <w:pPr>
              <w:spacing w:before="0" w:after="0"/>
            </w:pPr>
            <w:r>
              <w:rPr>
                <w:rFonts w:ascii="Arial" w:hAnsi="Arial"/>
                <w:b/>
                <w:sz w:val="18"/>
              </w:rPr>
              <w:t>Priority</w:t>
            </w:r>
          </w:p>
        </w:tc>
        <w:tc>
          <w:tcPr>
            <w:tcW w:type="dxa" w:w="2464"/>
            <w:vAlign w:val="center"/>
            <w:tcMar>
              <w:top w:w="70" w:type="dxa"/>
              <w:start w:w="80" w:type="dxa"/>
              <w:bottom w:w="70" w:type="dxa"/>
              <w:end w:w="80" w:type="dxa"/>
            </w:tcMar>
            <w:shd w:fill="D9EAD3"/>
          </w:tcPr>
          <w:p>
            <w:pPr>
              <w:spacing w:before="0" w:after="0"/>
            </w:pPr>
            <w:r>
              <w:rPr>
                <w:rFonts w:ascii="Arial" w:hAnsi="Arial"/>
                <w:b/>
                <w:sz w:val="18"/>
              </w:rPr>
              <w:t>Fälle</w:t>
            </w:r>
          </w:p>
        </w:tc>
        <w:tc>
          <w:tcPr>
            <w:tcW w:type="dxa" w:w="2464"/>
            <w:vAlign w:val="center"/>
            <w:tcMar>
              <w:top w:w="70" w:type="dxa"/>
              <w:start w:w="80" w:type="dxa"/>
              <w:bottom w:w="70" w:type="dxa"/>
              <w:end w:w="80" w:type="dxa"/>
            </w:tcMar>
            <w:shd w:fill="D9EAD3"/>
          </w:tcPr>
          <w:p>
            <w:pPr>
              <w:spacing w:before="0" w:after="0"/>
            </w:pPr>
            <w:r>
              <w:rPr>
                <w:rFonts w:ascii="Arial" w:hAnsi="Arial"/>
                <w:b/>
                <w:sz w:val="18"/>
              </w:rPr>
              <w:t>Action</w:t>
            </w:r>
          </w:p>
        </w:tc>
      </w:tr>
      <w:tr>
        <w:tc>
          <w:tcPr>
            <w:tcW w:type="dxa" w:w="2464"/>
            <w:vAlign w:val="center"/>
            <w:tcMar>
              <w:top w:w="70" w:type="dxa"/>
              <w:start w:w="80" w:type="dxa"/>
              <w:bottom w:w="70" w:type="dxa"/>
              <w:end w:w="80" w:type="dxa"/>
            </w:tcMar>
          </w:tcPr>
          <w:p>
            <w:pPr>
              <w:spacing w:before="0" w:after="0"/>
            </w:pPr>
            <w:r>
              <w:rPr>
                <w:rFonts w:ascii="Arial" w:hAnsi="Arial"/>
                <w:sz w:val="18"/>
              </w:rPr>
              <w:t>NOT_SAFE_TEMPERATURE</w:t>
            </w:r>
          </w:p>
        </w:tc>
        <w:tc>
          <w:tcPr>
            <w:tcW w:type="dxa" w:w="2464"/>
            <w:vAlign w:val="center"/>
            <w:tcMar>
              <w:top w:w="70" w:type="dxa"/>
              <w:start w:w="80" w:type="dxa"/>
              <w:bottom w:w="70" w:type="dxa"/>
              <w:end w:w="80" w:type="dxa"/>
            </w:tcMar>
          </w:tcPr>
          <w:p>
            <w:pPr>
              <w:spacing w:before="0" w:after="0"/>
            </w:pPr>
            <w:r>
              <w:rPr>
                <w:rFonts w:ascii="Arial" w:hAnsi="Arial"/>
                <w:sz w:val="18"/>
              </w:rPr>
              <w:t>2</w:t>
            </w:r>
          </w:p>
        </w:tc>
        <w:tc>
          <w:tcPr>
            <w:tcW w:type="dxa" w:w="2464"/>
            <w:vAlign w:val="center"/>
            <w:tcMar>
              <w:top w:w="70" w:type="dxa"/>
              <w:start w:w="80" w:type="dxa"/>
              <w:bottom w:w="70" w:type="dxa"/>
              <w:end w:w="80" w:type="dxa"/>
            </w:tcMar>
          </w:tcPr>
          <w:p>
            <w:pPr>
              <w:spacing w:before="0" w:after="0"/>
            </w:pPr>
            <w:r>
              <w:rPr>
                <w:rFonts w:ascii="Arial" w:hAnsi="Arial"/>
                <w:sz w:val="18"/>
              </w:rPr>
              <w:t>200</w:t>
            </w:r>
          </w:p>
        </w:tc>
        <w:tc>
          <w:tcPr>
            <w:tcW w:type="dxa" w:w="2464"/>
            <w:vAlign w:val="center"/>
            <w:tcMar>
              <w:top w:w="70" w:type="dxa"/>
              <w:start w:w="80" w:type="dxa"/>
              <w:bottom w:w="70" w:type="dxa"/>
              <w:end w:w="80" w:type="dxa"/>
            </w:tcMar>
          </w:tcPr>
          <w:p>
            <w:pPr>
              <w:spacing w:before="0" w:after="0"/>
            </w:pPr>
            <w:r>
              <w:rPr>
                <w:rFonts w:ascii="Arial" w:hAnsi="Arial"/>
                <w:sz w:val="18"/>
              </w:rPr>
              <w:t>Correct thermal operating condition</w:t>
            </w:r>
          </w:p>
        </w:tc>
      </w:tr>
      <w:tr>
        <w:tc>
          <w:tcPr>
            <w:tcW w:type="dxa" w:w="2464"/>
            <w:vAlign w:val="center"/>
            <w:tcMar>
              <w:top w:w="70" w:type="dxa"/>
              <w:start w:w="80" w:type="dxa"/>
              <w:bottom w:w="70" w:type="dxa"/>
              <w:end w:w="80" w:type="dxa"/>
            </w:tcMar>
          </w:tcPr>
          <w:p>
            <w:pPr>
              <w:spacing w:before="0" w:after="0"/>
            </w:pPr>
            <w:r>
              <w:rPr>
                <w:rFonts w:ascii="Arial" w:hAnsi="Arial"/>
                <w:sz w:val="18"/>
              </w:rPr>
              <w:t>CRITICAL</w:t>
            </w:r>
          </w:p>
        </w:tc>
        <w:tc>
          <w:tcPr>
            <w:tcW w:type="dxa" w:w="2464"/>
            <w:vAlign w:val="center"/>
            <w:tcMar>
              <w:top w:w="70" w:type="dxa"/>
              <w:start w:w="80" w:type="dxa"/>
              <w:bottom w:w="70" w:type="dxa"/>
              <w:end w:w="80" w:type="dxa"/>
            </w:tcMar>
          </w:tcPr>
          <w:p>
            <w:pPr>
              <w:spacing w:before="0" w:after="0"/>
            </w:pPr>
            <w:r>
              <w:rPr>
                <w:rFonts w:ascii="Arial" w:hAnsi="Arial"/>
                <w:sz w:val="18"/>
              </w:rPr>
              <w:t>3</w:t>
            </w:r>
          </w:p>
        </w:tc>
        <w:tc>
          <w:tcPr>
            <w:tcW w:type="dxa" w:w="2464"/>
            <w:vAlign w:val="center"/>
            <w:tcMar>
              <w:top w:w="70" w:type="dxa"/>
              <w:start w:w="80" w:type="dxa"/>
              <w:bottom w:w="70" w:type="dxa"/>
              <w:end w:w="80" w:type="dxa"/>
            </w:tcMar>
          </w:tcPr>
          <w:p>
            <w:pPr>
              <w:spacing w:before="0" w:after="0"/>
            </w:pPr>
            <w:r>
              <w:rPr>
                <w:rFonts w:ascii="Arial" w:hAnsi="Arial"/>
                <w:sz w:val="18"/>
              </w:rPr>
              <w:t>69</w:t>
            </w:r>
          </w:p>
        </w:tc>
        <w:tc>
          <w:tcPr>
            <w:tcW w:type="dxa" w:w="2464"/>
            <w:vAlign w:val="center"/>
            <w:tcMar>
              <w:top w:w="70" w:type="dxa"/>
              <w:start w:w="80" w:type="dxa"/>
              <w:bottom w:w="70" w:type="dxa"/>
              <w:end w:w="80" w:type="dxa"/>
            </w:tcMar>
          </w:tcPr>
          <w:p>
            <w:pPr>
              <w:spacing w:before="0" w:after="0"/>
            </w:pPr>
            <w:r>
              <w:rPr>
                <w:rFonts w:ascii="Arial" w:hAnsi="Arial"/>
                <w:sz w:val="18"/>
              </w:rPr>
              <w:t>Monitor / investigate</w:t>
            </w:r>
          </w:p>
        </w:tc>
      </w:tr>
      <w:tr>
        <w:tc>
          <w:tcPr>
            <w:tcW w:type="dxa" w:w="2464"/>
            <w:vAlign w:val="center"/>
            <w:tcMar>
              <w:top w:w="70" w:type="dxa"/>
              <w:start w:w="80" w:type="dxa"/>
              <w:bottom w:w="70" w:type="dxa"/>
              <w:end w:w="80" w:type="dxa"/>
            </w:tcMar>
          </w:tcPr>
          <w:p>
            <w:pPr>
              <w:spacing w:before="0" w:after="0"/>
            </w:pPr>
            <w:r>
              <w:rPr>
                <w:rFonts w:ascii="Arial" w:hAnsi="Arial"/>
                <w:sz w:val="18"/>
              </w:rPr>
              <w:t>SAFE</w:t>
            </w:r>
          </w:p>
        </w:tc>
        <w:tc>
          <w:tcPr>
            <w:tcW w:type="dxa" w:w="2464"/>
            <w:vAlign w:val="center"/>
            <w:tcMar>
              <w:top w:w="70" w:type="dxa"/>
              <w:start w:w="80" w:type="dxa"/>
              <w:bottom w:w="70" w:type="dxa"/>
              <w:end w:w="80" w:type="dxa"/>
            </w:tcMar>
          </w:tcPr>
          <w:p>
            <w:pPr>
              <w:spacing w:before="0" w:after="0"/>
            </w:pPr>
            <w:r>
              <w:rPr>
                <w:rFonts w:ascii="Arial" w:hAnsi="Arial"/>
                <w:sz w:val="18"/>
              </w:rPr>
              <w:t>4</w:t>
            </w:r>
          </w:p>
        </w:tc>
        <w:tc>
          <w:tcPr>
            <w:tcW w:type="dxa" w:w="2464"/>
            <w:vAlign w:val="center"/>
            <w:tcMar>
              <w:top w:w="70" w:type="dxa"/>
              <w:start w:w="80" w:type="dxa"/>
              <w:bottom w:w="70" w:type="dxa"/>
              <w:end w:w="80" w:type="dxa"/>
            </w:tcMar>
          </w:tcPr>
          <w:p>
            <w:pPr>
              <w:spacing w:before="0" w:after="0"/>
            </w:pPr>
            <w:r>
              <w:rPr>
                <w:rFonts w:ascii="Arial" w:hAnsi="Arial"/>
                <w:sz w:val="18"/>
              </w:rPr>
              <w:t>231</w:t>
            </w:r>
          </w:p>
        </w:tc>
        <w:tc>
          <w:tcPr>
            <w:tcW w:type="dxa" w:w="2464"/>
            <w:vAlign w:val="center"/>
            <w:tcMar>
              <w:top w:w="70" w:type="dxa"/>
              <w:start w:w="80" w:type="dxa"/>
              <w:bottom w:w="70" w:type="dxa"/>
              <w:end w:w="80" w:type="dxa"/>
            </w:tcMar>
          </w:tcPr>
          <w:p>
            <w:pPr>
              <w:spacing w:before="0" w:after="0"/>
            </w:pPr>
            <w:r>
              <w:rPr>
                <w:rFonts w:ascii="Arial" w:hAnsi="Arial"/>
                <w:sz w:val="18"/>
              </w:rPr>
              <w:t>No immediate action</w:t>
            </w:r>
          </w:p>
        </w:tc>
      </w:tr>
    </w:tbl>
    <w:p>
      <w:pPr/>
      <w:r>
        <w:t>Für NOT_SAFE_BOTH und NOT_SAFE_POWER waren im 500er-Test keine Fälle vorhanden. Die entsprechenden Empfehlungen sind dennoch im Programm implementiert.</w:t>
      </w:r>
    </w:p>
    <w:p>
      <w:pPr>
        <w:pStyle w:val="Heading1"/>
        <w:keepNext/>
      </w:pPr>
      <w:r>
        <w:t>8. Beispiel der höchstpriorisierten Fälle</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tcMar>
              <w:top w:w="70" w:type="dxa"/>
              <w:start w:w="80" w:type="dxa"/>
              <w:bottom w:w="70" w:type="dxa"/>
              <w:end w:w="80" w:type="dxa"/>
            </w:tcMar>
            <w:shd w:fill="D9EAD3"/>
          </w:tcPr>
          <w:p>
            <w:pPr>
              <w:spacing w:before="0" w:after="0"/>
            </w:pPr>
            <w:r>
              <w:rPr>
                <w:rFonts w:ascii="Arial" w:hAnsi="Arial"/>
                <w:b/>
                <w:sz w:val="16"/>
              </w:rPr>
              <w:t>Fall</w:t>
            </w:r>
          </w:p>
        </w:tc>
        <w:tc>
          <w:tcPr>
            <w:tcW w:type="dxa" w:w="1972"/>
            <w:vAlign w:val="center"/>
            <w:tcMar>
              <w:top w:w="70" w:type="dxa"/>
              <w:start w:w="80" w:type="dxa"/>
              <w:bottom w:w="70" w:type="dxa"/>
              <w:end w:w="80" w:type="dxa"/>
            </w:tcMar>
            <w:shd w:fill="D9EAD3"/>
          </w:tcPr>
          <w:p>
            <w:pPr>
              <w:spacing w:before="0" w:after="0"/>
            </w:pPr>
            <w:r>
              <w:rPr>
                <w:rFonts w:ascii="Arial" w:hAnsi="Arial"/>
                <w:b/>
                <w:sz w:val="16"/>
              </w:rPr>
              <w:t>Modell</w:t>
            </w:r>
          </w:p>
        </w:tc>
        <w:tc>
          <w:tcPr>
            <w:tcW w:type="dxa" w:w="1972"/>
            <w:vAlign w:val="center"/>
            <w:tcMar>
              <w:top w:w="70" w:type="dxa"/>
              <w:start w:w="80" w:type="dxa"/>
              <w:bottom w:w="70" w:type="dxa"/>
              <w:end w:w="80" w:type="dxa"/>
            </w:tcMar>
            <w:shd w:fill="D9EAD3"/>
          </w:tcPr>
          <w:p>
            <w:pPr>
              <w:spacing w:before="0" w:after="0"/>
            </w:pPr>
            <w:r>
              <w:rPr>
                <w:rFonts w:ascii="Arial" w:hAnsi="Arial"/>
                <w:b/>
                <w:sz w:val="16"/>
              </w:rPr>
              <w:t>Priority</w:t>
            </w:r>
          </w:p>
        </w:tc>
        <w:tc>
          <w:tcPr>
            <w:tcW w:type="dxa" w:w="1972"/>
            <w:vAlign w:val="center"/>
            <w:tcMar>
              <w:top w:w="70" w:type="dxa"/>
              <w:start w:w="80" w:type="dxa"/>
              <w:bottom w:w="70" w:type="dxa"/>
              <w:end w:w="80" w:type="dxa"/>
            </w:tcMar>
            <w:shd w:fill="D9EAD3"/>
          </w:tcPr>
          <w:p>
            <w:pPr>
              <w:spacing w:before="0" w:after="0"/>
            </w:pPr>
            <w:r>
              <w:rPr>
                <w:rFonts w:ascii="Arial" w:hAnsi="Arial"/>
                <w:b/>
                <w:sz w:val="16"/>
              </w:rPr>
              <w:t>Score</w:t>
            </w:r>
          </w:p>
        </w:tc>
        <w:tc>
          <w:tcPr>
            <w:tcW w:type="dxa" w:w="1972"/>
            <w:vAlign w:val="center"/>
            <w:tcMar>
              <w:top w:w="70" w:type="dxa"/>
              <w:start w:w="80" w:type="dxa"/>
              <w:bottom w:w="70" w:type="dxa"/>
              <w:end w:w="80" w:type="dxa"/>
            </w:tcMar>
            <w:shd w:fill="D9EAD3"/>
          </w:tcPr>
          <w:p>
            <w:pPr>
              <w:spacing w:before="0" w:after="0"/>
            </w:pPr>
            <w:r>
              <w:rPr>
                <w:rFonts w:ascii="Arial" w:hAnsi="Arial"/>
                <w:b/>
                <w:sz w:val="16"/>
              </w:rPr>
              <w:t>Recommended Action</w:t>
            </w:r>
          </w:p>
        </w:tc>
      </w:tr>
      <w:tr>
        <w:tc>
          <w:tcPr>
            <w:tcW w:type="dxa" w:w="1972"/>
            <w:vAlign w:val="center"/>
            <w:tcMar>
              <w:top w:w="70" w:type="dxa"/>
              <w:start w:w="80" w:type="dxa"/>
              <w:bottom w:w="70" w:type="dxa"/>
              <w:end w:w="80" w:type="dxa"/>
            </w:tcMar>
          </w:tcPr>
          <w:p>
            <w:pPr>
              <w:spacing w:before="0" w:after="0"/>
            </w:pPr>
            <w:r>
              <w:rPr>
                <w:rFonts w:ascii="Arial" w:hAnsi="Arial"/>
                <w:sz w:val="16"/>
              </w:rPr>
              <w:t>399</w:t>
            </w:r>
          </w:p>
        </w:tc>
        <w:tc>
          <w:tcPr>
            <w:tcW w:type="dxa" w:w="1972"/>
            <w:vAlign w:val="center"/>
            <w:tcMar>
              <w:top w:w="70" w:type="dxa"/>
              <w:start w:w="80" w:type="dxa"/>
              <w:bottom w:w="70" w:type="dxa"/>
              <w:end w:w="80" w:type="dxa"/>
            </w:tcMar>
          </w:tcPr>
          <w:p>
            <w:pPr>
              <w:spacing w:before="0" w:after="0"/>
            </w:pPr>
            <w:r>
              <w:rPr>
                <w:rFonts w:ascii="Arial" w:hAnsi="Arial"/>
                <w:sz w:val="16"/>
              </w:rPr>
              <w:t>DEMO_MOSFET_02</w:t>
            </w:r>
          </w:p>
        </w:tc>
        <w:tc>
          <w:tcPr>
            <w:tcW w:type="dxa" w:w="1972"/>
            <w:vAlign w:val="center"/>
            <w:tcMar>
              <w:top w:w="70" w:type="dxa"/>
              <w:start w:w="80" w:type="dxa"/>
              <w:bottom w:w="70" w:type="dxa"/>
              <w:end w:w="80" w:type="dxa"/>
            </w:tcMar>
          </w:tcPr>
          <w:p>
            <w:pPr>
              <w:spacing w:before="0" w:after="0"/>
            </w:pPr>
            <w:r>
              <w:rPr>
                <w:rFonts w:ascii="Arial" w:hAnsi="Arial"/>
                <w:sz w:val="16"/>
              </w:rPr>
              <w:t>2</w:t>
            </w:r>
          </w:p>
        </w:tc>
        <w:tc>
          <w:tcPr>
            <w:tcW w:type="dxa" w:w="1972"/>
            <w:vAlign w:val="center"/>
            <w:tcMar>
              <w:top w:w="70" w:type="dxa"/>
              <w:start w:w="80" w:type="dxa"/>
              <w:bottom w:w="70" w:type="dxa"/>
              <w:end w:w="80" w:type="dxa"/>
            </w:tcMar>
          </w:tcPr>
          <w:p>
            <w:pPr>
              <w:spacing w:before="0" w:after="0"/>
            </w:pPr>
            <w:r>
              <w:rPr>
                <w:rFonts w:ascii="Arial" w:hAnsi="Arial"/>
                <w:sz w:val="16"/>
              </w:rPr>
              <w:t>1,4681</w:t>
            </w:r>
          </w:p>
        </w:tc>
        <w:tc>
          <w:tcPr>
            <w:tcW w:type="dxa" w:w="1972"/>
            <w:vAlign w:val="center"/>
            <w:tcMar>
              <w:top w:w="70" w:type="dxa"/>
              <w:start w:w="80" w:type="dxa"/>
              <w:bottom w:w="70" w:type="dxa"/>
              <w:end w:w="80" w:type="dxa"/>
            </w:tcMar>
          </w:tcPr>
          <w:p>
            <w:pPr>
              <w:spacing w:before="0" w:after="0"/>
            </w:pPr>
            <w:r>
              <w:rPr>
                <w:rFonts w:ascii="Arial" w:hAnsi="Arial"/>
                <w:sz w:val="16"/>
              </w:rPr>
              <w:t>Correct thermal operating condition</w:t>
            </w:r>
          </w:p>
        </w:tc>
      </w:tr>
      <w:tr>
        <w:tc>
          <w:tcPr>
            <w:tcW w:type="dxa" w:w="1972"/>
            <w:vAlign w:val="center"/>
            <w:tcMar>
              <w:top w:w="70" w:type="dxa"/>
              <w:start w:w="80" w:type="dxa"/>
              <w:bottom w:w="70" w:type="dxa"/>
              <w:end w:w="80" w:type="dxa"/>
            </w:tcMar>
          </w:tcPr>
          <w:p>
            <w:pPr>
              <w:spacing w:before="0" w:after="0"/>
            </w:pPr>
            <w:r>
              <w:rPr>
                <w:rFonts w:ascii="Arial" w:hAnsi="Arial"/>
                <w:sz w:val="16"/>
              </w:rPr>
              <w:t>126</w:t>
            </w:r>
          </w:p>
        </w:tc>
        <w:tc>
          <w:tcPr>
            <w:tcW w:type="dxa" w:w="1972"/>
            <w:vAlign w:val="center"/>
            <w:tcMar>
              <w:top w:w="70" w:type="dxa"/>
              <w:start w:w="80" w:type="dxa"/>
              <w:bottom w:w="70" w:type="dxa"/>
              <w:end w:w="80" w:type="dxa"/>
            </w:tcMar>
          </w:tcPr>
          <w:p>
            <w:pPr>
              <w:spacing w:before="0" w:after="0"/>
            </w:pPr>
            <w:r>
              <w:rPr>
                <w:rFonts w:ascii="Arial" w:hAnsi="Arial"/>
                <w:sz w:val="16"/>
              </w:rPr>
              <w:t>DEMO_MOSFET_02</w:t>
            </w:r>
          </w:p>
        </w:tc>
        <w:tc>
          <w:tcPr>
            <w:tcW w:type="dxa" w:w="1972"/>
            <w:vAlign w:val="center"/>
            <w:tcMar>
              <w:top w:w="70" w:type="dxa"/>
              <w:start w:w="80" w:type="dxa"/>
              <w:bottom w:w="70" w:type="dxa"/>
              <w:end w:w="80" w:type="dxa"/>
            </w:tcMar>
          </w:tcPr>
          <w:p>
            <w:pPr>
              <w:spacing w:before="0" w:after="0"/>
            </w:pPr>
            <w:r>
              <w:rPr>
                <w:rFonts w:ascii="Arial" w:hAnsi="Arial"/>
                <w:sz w:val="16"/>
              </w:rPr>
              <w:t>2</w:t>
            </w:r>
          </w:p>
        </w:tc>
        <w:tc>
          <w:tcPr>
            <w:tcW w:type="dxa" w:w="1972"/>
            <w:vAlign w:val="center"/>
            <w:tcMar>
              <w:top w:w="70" w:type="dxa"/>
              <w:start w:w="80" w:type="dxa"/>
              <w:bottom w:w="70" w:type="dxa"/>
              <w:end w:w="80" w:type="dxa"/>
            </w:tcMar>
          </w:tcPr>
          <w:p>
            <w:pPr>
              <w:spacing w:before="0" w:after="0"/>
            </w:pPr>
            <w:r>
              <w:rPr>
                <w:rFonts w:ascii="Arial" w:hAnsi="Arial"/>
                <w:sz w:val="16"/>
              </w:rPr>
              <w:t>1,4666</w:t>
            </w:r>
          </w:p>
        </w:tc>
        <w:tc>
          <w:tcPr>
            <w:tcW w:type="dxa" w:w="1972"/>
            <w:vAlign w:val="center"/>
            <w:tcMar>
              <w:top w:w="70" w:type="dxa"/>
              <w:start w:w="80" w:type="dxa"/>
              <w:bottom w:w="70" w:type="dxa"/>
              <w:end w:w="80" w:type="dxa"/>
            </w:tcMar>
          </w:tcPr>
          <w:p>
            <w:pPr>
              <w:spacing w:before="0" w:after="0"/>
            </w:pPr>
            <w:r>
              <w:rPr>
                <w:rFonts w:ascii="Arial" w:hAnsi="Arial"/>
                <w:sz w:val="16"/>
              </w:rPr>
              <w:t>Correct thermal operating condition</w:t>
            </w:r>
          </w:p>
        </w:tc>
      </w:tr>
      <w:tr>
        <w:tc>
          <w:tcPr>
            <w:tcW w:type="dxa" w:w="1972"/>
            <w:vAlign w:val="center"/>
            <w:tcMar>
              <w:top w:w="70" w:type="dxa"/>
              <w:start w:w="80" w:type="dxa"/>
              <w:bottom w:w="70" w:type="dxa"/>
              <w:end w:w="80" w:type="dxa"/>
            </w:tcMar>
          </w:tcPr>
          <w:p>
            <w:pPr>
              <w:spacing w:before="0" w:after="0"/>
            </w:pPr>
            <w:r>
              <w:rPr>
                <w:rFonts w:ascii="Arial" w:hAnsi="Arial"/>
                <w:sz w:val="16"/>
              </w:rPr>
              <w:t>418</w:t>
            </w:r>
          </w:p>
        </w:tc>
        <w:tc>
          <w:tcPr>
            <w:tcW w:type="dxa" w:w="1972"/>
            <w:vAlign w:val="center"/>
            <w:tcMar>
              <w:top w:w="70" w:type="dxa"/>
              <w:start w:w="80" w:type="dxa"/>
              <w:bottom w:w="70" w:type="dxa"/>
              <w:end w:w="80" w:type="dxa"/>
            </w:tcMar>
          </w:tcPr>
          <w:p>
            <w:pPr>
              <w:spacing w:before="0" w:after="0"/>
            </w:pPr>
            <w:r>
              <w:rPr>
                <w:rFonts w:ascii="Arial" w:hAnsi="Arial"/>
                <w:sz w:val="16"/>
              </w:rPr>
              <w:t>DEMO_BJT_01</w:t>
            </w:r>
          </w:p>
        </w:tc>
        <w:tc>
          <w:tcPr>
            <w:tcW w:type="dxa" w:w="1972"/>
            <w:vAlign w:val="center"/>
            <w:tcMar>
              <w:top w:w="70" w:type="dxa"/>
              <w:start w:w="80" w:type="dxa"/>
              <w:bottom w:w="70" w:type="dxa"/>
              <w:end w:w="80" w:type="dxa"/>
            </w:tcMar>
          </w:tcPr>
          <w:p>
            <w:pPr>
              <w:spacing w:before="0" w:after="0"/>
            </w:pPr>
            <w:r>
              <w:rPr>
                <w:rFonts w:ascii="Arial" w:hAnsi="Arial"/>
                <w:sz w:val="16"/>
              </w:rPr>
              <w:t>2</w:t>
            </w:r>
          </w:p>
        </w:tc>
        <w:tc>
          <w:tcPr>
            <w:tcW w:type="dxa" w:w="1972"/>
            <w:vAlign w:val="center"/>
            <w:tcMar>
              <w:top w:w="70" w:type="dxa"/>
              <w:start w:w="80" w:type="dxa"/>
              <w:bottom w:w="70" w:type="dxa"/>
              <w:end w:w="80" w:type="dxa"/>
            </w:tcMar>
          </w:tcPr>
          <w:p>
            <w:pPr>
              <w:spacing w:before="0" w:after="0"/>
            </w:pPr>
            <w:r>
              <w:rPr>
                <w:rFonts w:ascii="Arial" w:hAnsi="Arial"/>
                <w:sz w:val="16"/>
              </w:rPr>
              <w:t>1,4601</w:t>
            </w:r>
          </w:p>
        </w:tc>
        <w:tc>
          <w:tcPr>
            <w:tcW w:type="dxa" w:w="1972"/>
            <w:vAlign w:val="center"/>
            <w:tcMar>
              <w:top w:w="70" w:type="dxa"/>
              <w:start w:w="80" w:type="dxa"/>
              <w:bottom w:w="70" w:type="dxa"/>
              <w:end w:w="80" w:type="dxa"/>
            </w:tcMar>
          </w:tcPr>
          <w:p>
            <w:pPr>
              <w:spacing w:before="0" w:after="0"/>
            </w:pPr>
            <w:r>
              <w:rPr>
                <w:rFonts w:ascii="Arial" w:hAnsi="Arial"/>
                <w:sz w:val="16"/>
              </w:rPr>
              <w:t>Correct thermal operating condition</w:t>
            </w:r>
          </w:p>
        </w:tc>
      </w:tr>
      <w:tr>
        <w:tc>
          <w:tcPr>
            <w:tcW w:type="dxa" w:w="1972"/>
            <w:vAlign w:val="center"/>
            <w:tcMar>
              <w:top w:w="70" w:type="dxa"/>
              <w:start w:w="80" w:type="dxa"/>
              <w:bottom w:w="70" w:type="dxa"/>
              <w:end w:w="80" w:type="dxa"/>
            </w:tcMar>
          </w:tcPr>
          <w:p>
            <w:pPr>
              <w:spacing w:before="0" w:after="0"/>
            </w:pPr>
            <w:r>
              <w:rPr>
                <w:rFonts w:ascii="Arial" w:hAnsi="Arial"/>
                <w:sz w:val="16"/>
              </w:rPr>
              <w:t>159</w:t>
            </w:r>
          </w:p>
        </w:tc>
        <w:tc>
          <w:tcPr>
            <w:tcW w:type="dxa" w:w="1972"/>
            <w:vAlign w:val="center"/>
            <w:tcMar>
              <w:top w:w="70" w:type="dxa"/>
              <w:start w:w="80" w:type="dxa"/>
              <w:bottom w:w="70" w:type="dxa"/>
              <w:end w:w="80" w:type="dxa"/>
            </w:tcMar>
          </w:tcPr>
          <w:p>
            <w:pPr>
              <w:spacing w:before="0" w:after="0"/>
            </w:pPr>
            <w:r>
              <w:rPr>
                <w:rFonts w:ascii="Arial" w:hAnsi="Arial"/>
                <w:sz w:val="16"/>
              </w:rPr>
              <w:t>DEMO_MOSFET_02</w:t>
            </w:r>
          </w:p>
        </w:tc>
        <w:tc>
          <w:tcPr>
            <w:tcW w:type="dxa" w:w="1972"/>
            <w:vAlign w:val="center"/>
            <w:tcMar>
              <w:top w:w="70" w:type="dxa"/>
              <w:start w:w="80" w:type="dxa"/>
              <w:bottom w:w="70" w:type="dxa"/>
              <w:end w:w="80" w:type="dxa"/>
            </w:tcMar>
          </w:tcPr>
          <w:p>
            <w:pPr>
              <w:spacing w:before="0" w:after="0"/>
            </w:pPr>
            <w:r>
              <w:rPr>
                <w:rFonts w:ascii="Arial" w:hAnsi="Arial"/>
                <w:sz w:val="16"/>
              </w:rPr>
              <w:t>2</w:t>
            </w:r>
          </w:p>
        </w:tc>
        <w:tc>
          <w:tcPr>
            <w:tcW w:type="dxa" w:w="1972"/>
            <w:vAlign w:val="center"/>
            <w:tcMar>
              <w:top w:w="70" w:type="dxa"/>
              <w:start w:w="80" w:type="dxa"/>
              <w:bottom w:w="70" w:type="dxa"/>
              <w:end w:w="80" w:type="dxa"/>
            </w:tcMar>
          </w:tcPr>
          <w:p>
            <w:pPr>
              <w:spacing w:before="0" w:after="0"/>
            </w:pPr>
            <w:r>
              <w:rPr>
                <w:rFonts w:ascii="Arial" w:hAnsi="Arial"/>
                <w:sz w:val="16"/>
              </w:rPr>
              <w:t>1,4496</w:t>
            </w:r>
          </w:p>
        </w:tc>
        <w:tc>
          <w:tcPr>
            <w:tcW w:type="dxa" w:w="1972"/>
            <w:vAlign w:val="center"/>
            <w:tcMar>
              <w:top w:w="70" w:type="dxa"/>
              <w:start w:w="80" w:type="dxa"/>
              <w:bottom w:w="70" w:type="dxa"/>
              <w:end w:w="80" w:type="dxa"/>
            </w:tcMar>
          </w:tcPr>
          <w:p>
            <w:pPr>
              <w:spacing w:before="0" w:after="0"/>
            </w:pPr>
            <w:r>
              <w:rPr>
                <w:rFonts w:ascii="Arial" w:hAnsi="Arial"/>
                <w:sz w:val="16"/>
              </w:rPr>
              <w:t>Correct thermal operating condition</w:t>
            </w:r>
          </w:p>
        </w:tc>
      </w:tr>
      <w:tr>
        <w:tc>
          <w:tcPr>
            <w:tcW w:type="dxa" w:w="1972"/>
            <w:vAlign w:val="center"/>
            <w:tcMar>
              <w:top w:w="70" w:type="dxa"/>
              <w:start w:w="80" w:type="dxa"/>
              <w:bottom w:w="70" w:type="dxa"/>
              <w:end w:w="80" w:type="dxa"/>
            </w:tcMar>
          </w:tcPr>
          <w:p>
            <w:pPr>
              <w:spacing w:before="0" w:after="0"/>
            </w:pPr>
            <w:r>
              <w:rPr>
                <w:rFonts w:ascii="Arial" w:hAnsi="Arial"/>
                <w:sz w:val="16"/>
              </w:rPr>
              <w:t>224</w:t>
            </w:r>
          </w:p>
        </w:tc>
        <w:tc>
          <w:tcPr>
            <w:tcW w:type="dxa" w:w="1972"/>
            <w:vAlign w:val="center"/>
            <w:tcMar>
              <w:top w:w="70" w:type="dxa"/>
              <w:start w:w="80" w:type="dxa"/>
              <w:bottom w:w="70" w:type="dxa"/>
              <w:end w:w="80" w:type="dxa"/>
            </w:tcMar>
          </w:tcPr>
          <w:p>
            <w:pPr>
              <w:spacing w:before="0" w:after="0"/>
            </w:pPr>
            <w:r>
              <w:rPr>
                <w:rFonts w:ascii="Arial" w:hAnsi="Arial"/>
                <w:sz w:val="16"/>
              </w:rPr>
              <w:t>DEMO_MOSFET_01</w:t>
            </w:r>
          </w:p>
        </w:tc>
        <w:tc>
          <w:tcPr>
            <w:tcW w:type="dxa" w:w="1972"/>
            <w:vAlign w:val="center"/>
            <w:tcMar>
              <w:top w:w="70" w:type="dxa"/>
              <w:start w:w="80" w:type="dxa"/>
              <w:bottom w:w="70" w:type="dxa"/>
              <w:end w:w="80" w:type="dxa"/>
            </w:tcMar>
          </w:tcPr>
          <w:p>
            <w:pPr>
              <w:spacing w:before="0" w:after="0"/>
            </w:pPr>
            <w:r>
              <w:rPr>
                <w:rFonts w:ascii="Arial" w:hAnsi="Arial"/>
                <w:sz w:val="16"/>
              </w:rPr>
              <w:t>2</w:t>
            </w:r>
          </w:p>
        </w:tc>
        <w:tc>
          <w:tcPr>
            <w:tcW w:type="dxa" w:w="1972"/>
            <w:vAlign w:val="center"/>
            <w:tcMar>
              <w:top w:w="70" w:type="dxa"/>
              <w:start w:w="80" w:type="dxa"/>
              <w:bottom w:w="70" w:type="dxa"/>
              <w:end w:w="80" w:type="dxa"/>
            </w:tcMar>
          </w:tcPr>
          <w:p>
            <w:pPr>
              <w:spacing w:before="0" w:after="0"/>
            </w:pPr>
            <w:r>
              <w:rPr>
                <w:rFonts w:ascii="Arial" w:hAnsi="Arial"/>
                <w:sz w:val="16"/>
              </w:rPr>
              <w:t>1,4476</w:t>
            </w:r>
          </w:p>
        </w:tc>
        <w:tc>
          <w:tcPr>
            <w:tcW w:type="dxa" w:w="1972"/>
            <w:vAlign w:val="center"/>
            <w:tcMar>
              <w:top w:w="70" w:type="dxa"/>
              <w:start w:w="80" w:type="dxa"/>
              <w:bottom w:w="70" w:type="dxa"/>
              <w:end w:w="80" w:type="dxa"/>
            </w:tcMar>
          </w:tcPr>
          <w:p>
            <w:pPr>
              <w:spacing w:before="0" w:after="0"/>
            </w:pPr>
            <w:r>
              <w:rPr>
                <w:rFonts w:ascii="Arial" w:hAnsi="Arial"/>
                <w:sz w:val="16"/>
              </w:rPr>
              <w:t>Correct thermal operating condition</w:t>
            </w:r>
          </w:p>
        </w:tc>
      </w:tr>
    </w:tbl>
    <w:p>
      <w:pPr>
        <w:pStyle w:val="Heading1"/>
        <w:keepNext/>
      </w:pPr>
      <w:r>
        <w:t>9. Nachweis aus der Programmausgabe</w:t>
      </w:r>
    </w:p>
    <w:p>
      <w:pPr>
        <w:jc w:val="center"/>
      </w:pPr>
      <w:r>
        <w:drawing>
          <wp:inline xmlns:a="http://schemas.openxmlformats.org/drawingml/2006/main" xmlns:pic="http://schemas.openxmlformats.org/drawingml/2006/picture">
            <wp:extent cx="5943600" cy="2809093"/>
            <wp:docPr id="1" name="Picture 1"/>
            <wp:cNvGraphicFramePr>
              <a:graphicFrameLocks noChangeAspect="1"/>
            </wp:cNvGraphicFramePr>
            <a:graphic>
              <a:graphicData uri="http://schemas.openxmlformats.org/drawingml/2006/picture">
                <pic:pic>
                  <pic:nvPicPr>
                    <pic:cNvPr id="0" name="e27f825f-5f61-48b0-b0b8-5983e57499b1.png"/>
                    <pic:cNvPicPr/>
                  </pic:nvPicPr>
                  <pic:blipFill>
                    <a:blip r:embed="rId13"/>
                    <a:stretch>
                      <a:fillRect/>
                    </a:stretch>
                  </pic:blipFill>
                  <pic:spPr>
                    <a:xfrm>
                      <a:off x="0" y="0"/>
                      <a:ext cx="5943600" cy="2809093"/>
                    </a:xfrm>
                    <a:prstGeom prst="rect"/>
                  </pic:spPr>
                </pic:pic>
              </a:graphicData>
            </a:graphic>
          </wp:inline>
        </w:drawing>
      </w:r>
    </w:p>
    <w:p>
      <w:pPr>
        <w:jc w:val="center"/>
      </w:pPr>
      <w:r>
        <w:rPr>
          <w:rFonts w:ascii="Arial" w:hAnsi="Arial"/>
          <w:i/>
          <w:sz w:val="19"/>
        </w:rPr>
        <w:t>Abbildung 1: Statistische Auswertung des Step-12-Skalierungstests mit 500 Betriebspunkten</w:t>
      </w:r>
    </w:p>
    <w:p>
      <w:pPr>
        <w:pStyle w:val="Heading1"/>
        <w:keepNext/>
      </w:pPr>
      <w:r>
        <w:t>10. Mehrwert der Erweiterung</w:t>
      </w:r>
    </w:p>
    <w:p>
      <w:pPr/>
      <w:r>
        <w:t>Bis Step 11 konnte TransiSafe beantworten, welcher Fall technisch dringlicher ist. Step 12 ergänzt nun die nächste sinnvolle Aktion. Dadurch wird aus einer Diagnose eine handlungsorientierte Ausgabe, die auch für fachfremdere Nutzer schneller verständlich ist.</w:t>
      </w:r>
    </w:p>
    <w:p>
      <w:pPr/>
      <w:r>
        <w:t>Der Informationsfluss lautet damit:</w:t>
      </w:r>
    </w:p>
    <w:p>
      <w:pPr>
        <w:pStyle w:val="CodeBlock"/>
      </w:pPr>
      <w:r>
        <w:t>Status</w:t>
        <w:br/>
        <w:t>-&gt; Priority</w:t>
        <w:br/>
        <w:t>-&gt; Criticality Score</w:t>
        <w:br/>
        <w:t>-&gt; Recommended Action</w:t>
      </w:r>
    </w:p>
    <w:p>
      <w:pPr>
        <w:pStyle w:val="Heading1"/>
        <w:keepNext/>
      </w:pPr>
      <w:r>
        <w:t>11. Bewertung</w:t>
      </w:r>
    </w:p>
    <w:p>
      <w:pPr>
        <w:pStyle w:val="ListBullet"/>
      </w:pPr>
      <w:r>
        <w:t>recommended_action wird für jeden der 500 Betriebspunkte exportiert.</w:t>
      </w:r>
    </w:p>
    <w:p>
      <w:pPr>
        <w:pStyle w:val="ListBullet"/>
      </w:pPr>
      <w:r>
        <w:t>Status, Priority und Handlungsempfehlung sind im Testdatensatz vollständig konsistent.</w:t>
      </w:r>
    </w:p>
    <w:p>
      <w:pPr>
        <w:pStyle w:val="ListBullet"/>
      </w:pPr>
      <w:r>
        <w:t>Die Empfehlungen unterscheiden zwischen thermischen, elektrischen, kombinierten und kritischen Zuständen.</w:t>
      </w:r>
    </w:p>
    <w:p>
      <w:pPr>
        <w:pStyle w:val="ListBullet"/>
      </w:pPr>
      <w:r>
        <w:t>SAFE-Fälle werden explizit mit No immediate action gekennzeichnet.</w:t>
      </w:r>
    </w:p>
    <w:p>
      <w:pPr>
        <w:pStyle w:val="ListBullet"/>
      </w:pPr>
      <w:r>
        <w:t>Die Ausgabe ist unmittelbar für ein Management- oder Power-BI-Dashboard verwendbar.</w:t>
      </w:r>
    </w:p>
    <w:p>
      <w:pPr>
        <w:pStyle w:val="Heading1"/>
        <w:keepNext/>
      </w:pPr>
      <w:r>
        <w:t>12. Grenzen und offene Punkte</w:t>
      </w:r>
    </w:p>
    <w:p>
      <w:pPr>
        <w:pStyle w:val="ListBullet"/>
      </w:pPr>
      <w:r>
        <w:t>Die Handlungsempfehlungen sind regelbasiert und keine automatisch validierten technischen Maßnahmen.</w:t>
      </w:r>
    </w:p>
    <w:p>
      <w:pPr>
        <w:pStyle w:val="ListBullet"/>
      </w:pPr>
      <w:r>
        <w:t>Sie berücksichtigen noch keine Kosten, Verfügbarkeit von Maßnahmen oder spezifische Unternehmensprozesse.</w:t>
      </w:r>
    </w:p>
    <w:p>
      <w:pPr>
        <w:pStyle w:val="ListBullet"/>
      </w:pPr>
      <w:r>
        <w:t>Der Skalierungstest enthält keine NOT_SAFE_BOTH- und NOT_SAFE_POWER-Fälle.</w:t>
      </w:r>
    </w:p>
    <w:p>
      <w:pPr>
        <w:pStyle w:val="ListBullet"/>
      </w:pPr>
      <w:r>
        <w:t>Eine Priorisierung mehrerer möglicher Maßnahmen pro Fall ist noch nicht implementiert.</w:t>
      </w:r>
    </w:p>
    <w:p>
      <w:pPr>
        <w:pStyle w:val="Heading1"/>
        <w:keepNext/>
      </w:pPr>
      <w:r>
        <w:t>13. Ergebnis des Entwicklungsschritts</w:t>
      </w:r>
    </w:p>
    <w:p>
      <w:pPr/>
      <w:r>
        <w:t>Entwicklungsschritt 12 wurde erfolgreich abgeschlossen. TransiSafe 2.0 verbindet die technische Zustandsbewertung nun mit einer klaren Handlungsempfehlung. Die Analyse wird dadurch verständlicher, handlungsorientierter und besser für eine spätere Managementdarstellung vorbereitet.</w:t>
      </w:r>
    </w:p>
    <w:p>
      <w:pPr>
        <w:pStyle w:val="Heading1"/>
        <w:keepNext/>
      </w:pPr>
      <w:r>
        <w:t>Kurzer Änderungsverlauf für GitHub</w:t>
      </w:r>
    </w:p>
    <w:p>
      <w:pPr>
        <w:pStyle w:val="CodeBlock"/>
      </w:pPr>
      <w:r>
        <w:t>## Schritt 12</w:t>
        <w:br/>
        <w:t>### Hinzugefügt</w:t>
        <w:br/>
        <w:t>- Funktion recommended_action_from_status()</w:t>
        <w:br/>
        <w:t>- Recommended Action für alle SafetyStatus-Werte</w:t>
        <w:br/>
        <w:t>- Export von recommended_action in results.csv</w:t>
        <w:br/>
        <w:t>- Anzeige der Handlungsempfehlung in der Konsole</w:t>
        <w:br/>
        <w:t>### Ergebnis</w:t>
        <w:br/>
        <w:t>- 500 Betriebspunkte mit Handlungsempfehlung exportiert</w:t>
        <w:br/>
        <w:t>- 200 thermische Korrekturempfehlungen</w:t>
        <w:br/>
        <w:t>- 69 Monitor/investigate</w:t>
        <w:br/>
        <w:t>- 231 No immediate action</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