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 w:val="0"/>
        <w:spacing w:before="240" w:after="80" w:line="240" w:lineRule="auto"/>
      </w:pPr>
      <w:r>
        <w:rPr>
          <w:rFonts w:ascii="Calibri" w:hAnsi="Calibri"/>
          <w:b/>
          <w:color w:val="000000"/>
          <w:sz w:val="46"/>
        </w:rPr>
        <w:t>PROTOCOL DEVIATION ADDENDUM</w:t>
      </w:r>
    </w:p>
    <w:p>
      <w:pPr>
        <w:keepNext w:val="0"/>
        <w:spacing w:before="0" w:after="320" w:line="240" w:lineRule="auto"/>
      </w:pPr>
      <w:r>
        <w:t>Offspring age classification and standardized acoustic frequency-range variable</w:t>
      </w:r>
    </w:p>
    <w:p>
      <w:pPr>
        <w:keepNext w:val="0"/>
        <w:spacing w:before="0" w:after="40" w:line="240" w:lineRule="auto"/>
      </w:pPr>
      <w:r>
        <w:rPr>
          <w:rFonts w:ascii="Calibri" w:hAnsi="Calibri"/>
          <w:b/>
          <w:color w:val="000000"/>
          <w:sz w:val="22"/>
        </w:rPr>
        <w:t xml:space="preserve">Protocol: </w:t>
      </w:r>
      <w:r>
        <w:rPr>
          <w:rFonts w:ascii="Calibri" w:hAnsi="Calibri"/>
          <w:color w:val="000000"/>
          <w:sz w:val="22"/>
        </w:rPr>
        <w:t>PCNE protocol v4 (11 November 2025)</w:t>
      </w:r>
    </w:p>
    <w:p>
      <w:pPr>
        <w:keepNext w:val="0"/>
        <w:spacing w:before="0" w:after="40" w:line="240" w:lineRule="auto"/>
      </w:pPr>
      <w:r>
        <w:t>Initial decision date: 18 August 2026; updated: 28 August 2026</w:t>
      </w:r>
    </w:p>
    <w:p>
      <w:pPr>
        <w:keepNext w:val="0"/>
        <w:spacing w:before="0" w:after="40" w:line="240" w:lineRule="auto"/>
      </w:pPr>
      <w:r>
        <w:t>Status: Approved for the codebook and analysis preparation</w:t>
      </w:r>
    </w:p>
    <w:p>
      <w:pPr>
        <w:keepNext w:val="0"/>
        <w:spacing w:before="0" w:after="40" w:line="240" w:lineRule="auto"/>
      </w:pPr>
      <w:r>
        <w:t>Scope: Post-extraction classifications and variable naming; no change to eligibility, author-reported data, or effect-size calculations</w:t>
      </w:r>
    </w:p>
    <w:p>
      <w:pPr>
        <w:pStyle w:val="Heading1"/>
        <w:keepNext/>
        <w:spacing w:before="320" w:after="160" w:line="240" w:lineRule="auto"/>
      </w:pPr>
      <w:r>
        <w:rPr>
          <w:rFonts w:ascii="Calibri" w:hAnsi="Calibri"/>
          <w:b/>
          <w:color w:val="2E74B5"/>
          <w:sz w:val="32"/>
        </w:rPr>
        <w:t>1. Deviation and rationale</w:t>
      </w:r>
    </w:p>
    <w:p>
      <w:pPr>
        <w:keepNext w:val="0"/>
        <w:spacing w:before="0" w:after="120" w:line="264" w:lineRule="auto"/>
      </w:pPr>
      <w:r>
        <w:rPr>
          <w:rFonts w:ascii="Calibri" w:hAnsi="Calibri"/>
          <w:color w:val="000000"/>
          <w:sz w:val="22"/>
        </w:rPr>
        <w:t>The registered protocol specifies offspring age in days and identifies age or age class as a possible biological moderator, but it does not prespecify species- and sex-specific thresholds for an age-class variable. This addendum records the threshold rule approved after data extraction and before effect-size modelling.</w:t>
      </w:r>
    </w:p>
    <w:p>
      <w:pPr>
        <w:keepNext w:val="0"/>
        <w:spacing w:before="0" w:after="120" w:line="264" w:lineRule="auto"/>
      </w:pPr>
      <w:r>
        <w:rPr>
          <w:rFonts w:ascii="Calibri" w:hAnsi="Calibri"/>
          <w:b/>
          <w:color w:val="000000"/>
          <w:sz w:val="22"/>
        </w:rPr>
        <w:t xml:space="preserve">Primary analysis decision: </w:t>
      </w:r>
      <w:r>
        <w:rPr>
          <w:rFonts w:ascii="Calibri" w:hAnsi="Calibri"/>
          <w:color w:val="000000"/>
          <w:sz w:val="22"/>
        </w:rPr>
        <w:t>offspring_age_d remains the continuous age moderator. The added offspring_age_class variable is restricted to descriptive summaries and sensitivity analyses. It will not replace offspring_age_d in the primary moderator model.</w:t>
      </w:r>
    </w:p>
    <w:p>
      <w:pPr>
        <w:keepNext w:val="0"/>
        <w:spacing w:before="0" w:after="120" w:line="264" w:lineRule="auto"/>
      </w:pPr>
      <w:r>
        <w:rPr>
          <w:rFonts w:ascii="Calibri" w:hAnsi="Calibri"/>
          <w:color w:val="000000"/>
          <w:sz w:val="22"/>
        </w:rPr>
        <w:t>This is a classification decision rather than a correction to author-reported data. The reported or extracted offspring age remains unchanged.</w:t>
      </w:r>
    </w:p>
    <w:p>
      <w:pPr>
        <w:pStyle w:val="Heading1"/>
        <w:keepNext/>
        <w:spacing w:before="320" w:after="160" w:line="240" w:lineRule="auto"/>
      </w:pPr>
      <w:r>
        <w:rPr>
          <w:rFonts w:ascii="Calibri" w:hAnsi="Calibri"/>
          <w:b/>
          <w:color w:val="2E74B5"/>
          <w:sz w:val="32"/>
        </w:rPr>
        <w:t>2. Operational age classes</w:t>
      </w:r>
    </w:p>
    <w:p>
      <w:pPr>
        <w:keepNext w:val="0"/>
        <w:spacing w:before="0" w:after="120" w:line="264" w:lineRule="auto"/>
      </w:pPr>
      <w:r>
        <w:rPr>
          <w:rFonts w:ascii="Calibri" w:hAnsi="Calibri"/>
          <w:color w:val="000000"/>
          <w:sz w:val="22"/>
        </w:rPr>
        <w:t>Thresholds follow the working postnatal stages summarized by Bell (2018). For the planned three-level variable, Bell’s peripubertal and late-adolescent stages are combined as adolescent. Adult begins after the upper bound of Bell’s late-adolescent stage.</w:t>
      </w:r>
    </w:p>
    <w:tbl>
      <w:tblPr>
        <w:tblStyle w:val="TableGrid"/>
        <w:tblW w:type="dxa" w:w="9360"/>
        <w:jc w:val="left"/>
        <w:tblLook w:firstColumn="1" w:firstRow="1" w:lastColumn="0" w:lastRow="0" w:noHBand="0" w:noVBand="1" w:val="04A0"/>
        <w:tblInd w:w="120" w:type="dxa"/>
        <w:tblLayout w:type="fixed"/>
      </w:tblPr>
      <w:tblGrid>
        <w:gridCol w:w="1600"/>
        <w:gridCol w:w="1400"/>
        <w:gridCol w:w="1900"/>
        <w:gridCol w:w="2200"/>
        <w:gridCol w:w="2260"/>
      </w:tblGrid>
      <w:tr>
        <w:tc>
          <w:tcPr>
            <w:tcW w:type="dxa" w:w="16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Calibri" w:hAnsi="Calibri"/>
                <w:b/>
                <w:color w:val="000000"/>
                <w:sz w:val="20"/>
              </w:rPr>
              <w:t>Species</w:t>
            </w:r>
          </w:p>
        </w:tc>
        <w:tc>
          <w:tcPr>
            <w:tcW w:type="dxa" w:w="14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Calibri" w:hAnsi="Calibri"/>
                <w:b/>
                <w:color w:val="000000"/>
                <w:sz w:val="20"/>
              </w:rPr>
              <w:t>Sex</w:t>
            </w:r>
          </w:p>
        </w:tc>
        <w:tc>
          <w:tcPr>
            <w:tcW w:type="dxa" w:w="19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Calibri" w:hAnsi="Calibri"/>
                <w:b/>
                <w:color w:val="000000"/>
                <w:sz w:val="20"/>
              </w:rPr>
              <w:t>Juvenile</w:t>
            </w:r>
          </w:p>
        </w:tc>
        <w:tc>
          <w:tcPr>
            <w:tcW w:type="dxa" w:w="22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Calibri" w:hAnsi="Calibri"/>
                <w:b/>
                <w:color w:val="000000"/>
                <w:sz w:val="20"/>
              </w:rPr>
              <w:t>Adolescent</w:t>
            </w:r>
          </w:p>
        </w:tc>
        <w:tc>
          <w:tcPr>
            <w:tcW w:type="dxa" w:w="226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Calibri" w:hAnsi="Calibri"/>
                <w:b/>
                <w:color w:val="000000"/>
                <w:sz w:val="20"/>
              </w:rPr>
              <w:t>Adult</w:t>
            </w:r>
          </w:p>
        </w:tc>
      </w:tr>
      <w:tr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Calibri" w:hAnsi="Calibri"/>
                <w:color w:val="000000"/>
                <w:sz w:val="20"/>
              </w:rPr>
              <w:t>Rat</w:t>
            </w:r>
          </w:p>
        </w:tc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Calibri" w:hAnsi="Calibri"/>
                <w:color w:val="000000"/>
                <w:sz w:val="20"/>
              </w:rPr>
              <w:t>Female</w:t>
            </w:r>
          </w:p>
        </w:tc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Calibri" w:hAnsi="Calibri"/>
                <w:color w:val="000000"/>
                <w:sz w:val="20"/>
              </w:rPr>
              <w:t>PND 18-34</w:t>
            </w:r>
          </w:p>
        </w:tc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Calibri" w:hAnsi="Calibri"/>
                <w:color w:val="000000"/>
                <w:sz w:val="20"/>
              </w:rPr>
              <w:t>PND 35-70</w:t>
            </w:r>
          </w:p>
        </w:tc>
        <w:tc>
          <w:tcPr>
            <w:tcW w:type="dxa" w:w="2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Calibri" w:hAnsi="Calibri"/>
                <w:color w:val="000000"/>
                <w:sz w:val="20"/>
              </w:rPr>
              <w:t>PND &gt;70</w:t>
            </w:r>
          </w:p>
        </w:tc>
      </w:tr>
      <w:tr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Calibri" w:hAnsi="Calibri"/>
                <w:color w:val="000000"/>
                <w:sz w:val="20"/>
              </w:rPr>
              <w:t>Rat</w:t>
            </w:r>
          </w:p>
        </w:tc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Calibri" w:hAnsi="Calibri"/>
                <w:color w:val="000000"/>
                <w:sz w:val="20"/>
              </w:rPr>
              <w:t>Male</w:t>
            </w:r>
          </w:p>
        </w:tc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Calibri" w:hAnsi="Calibri"/>
                <w:color w:val="000000"/>
                <w:sz w:val="20"/>
              </w:rPr>
              <w:t>PND 18-41</w:t>
            </w:r>
          </w:p>
        </w:tc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Calibri" w:hAnsi="Calibri"/>
                <w:color w:val="000000"/>
                <w:sz w:val="20"/>
              </w:rPr>
              <w:t>PND 42-70</w:t>
            </w:r>
          </w:p>
        </w:tc>
        <w:tc>
          <w:tcPr>
            <w:tcW w:type="dxa" w:w="2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Calibri" w:hAnsi="Calibri"/>
                <w:color w:val="000000"/>
                <w:sz w:val="20"/>
              </w:rPr>
              <w:t>PND &gt;70</w:t>
            </w:r>
          </w:p>
        </w:tc>
      </w:tr>
      <w:tr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Calibri" w:hAnsi="Calibri"/>
                <w:color w:val="000000"/>
                <w:sz w:val="20"/>
              </w:rPr>
              <w:t>Mouse</w:t>
            </w:r>
          </w:p>
        </w:tc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Calibri" w:hAnsi="Calibri"/>
                <w:color w:val="000000"/>
                <w:sz w:val="20"/>
              </w:rPr>
              <w:t>Female</w:t>
            </w:r>
          </w:p>
        </w:tc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Calibri" w:hAnsi="Calibri"/>
                <w:color w:val="000000"/>
                <w:sz w:val="20"/>
              </w:rPr>
              <w:t>PND 18-27</w:t>
            </w:r>
          </w:p>
        </w:tc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Calibri" w:hAnsi="Calibri"/>
                <w:color w:val="000000"/>
                <w:sz w:val="20"/>
              </w:rPr>
              <w:t>PND 28-60</w:t>
            </w:r>
          </w:p>
        </w:tc>
        <w:tc>
          <w:tcPr>
            <w:tcW w:type="dxa" w:w="2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Calibri" w:hAnsi="Calibri"/>
                <w:color w:val="000000"/>
                <w:sz w:val="20"/>
              </w:rPr>
              <w:t>PND &gt;60</w:t>
            </w:r>
          </w:p>
        </w:tc>
      </w:tr>
      <w:tr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Calibri" w:hAnsi="Calibri"/>
                <w:color w:val="000000"/>
                <w:sz w:val="20"/>
              </w:rPr>
              <w:t>Mouse</w:t>
            </w:r>
          </w:p>
        </w:tc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Calibri" w:hAnsi="Calibri"/>
                <w:color w:val="000000"/>
                <w:sz w:val="20"/>
              </w:rPr>
              <w:t>Male</w:t>
            </w:r>
          </w:p>
        </w:tc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Calibri" w:hAnsi="Calibri"/>
                <w:color w:val="000000"/>
                <w:sz w:val="20"/>
              </w:rPr>
              <w:t>PND 18-29</w:t>
            </w:r>
          </w:p>
        </w:tc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Calibri" w:hAnsi="Calibri"/>
                <w:color w:val="000000"/>
                <w:sz w:val="20"/>
              </w:rPr>
              <w:t>PND 30-60</w:t>
            </w:r>
          </w:p>
        </w:tc>
        <w:tc>
          <w:tcPr>
            <w:tcW w:type="dxa" w:w="2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Calibri" w:hAnsi="Calibri"/>
                <w:color w:val="000000"/>
                <w:sz w:val="20"/>
              </w:rPr>
              <w:t>PND &gt;60</w:t>
            </w:r>
          </w:p>
        </w:tc>
      </w:tr>
    </w:tbl>
    <w:p>
      <w:pPr>
        <w:keepNext w:val="0"/>
        <w:spacing w:before="80" w:after="80" w:line="240" w:lineRule="auto"/>
      </w:pPr>
      <w:r>
        <w:rPr>
          <w:rFonts w:ascii="Calibri" w:hAnsi="Calibri"/>
          <w:b/>
          <w:color w:val="5F6978"/>
          <w:sz w:val="18"/>
        </w:rPr>
        <w:t xml:space="preserve">Source: </w:t>
      </w:r>
      <w:r>
        <w:rPr>
          <w:rFonts w:ascii="Calibri" w:hAnsi="Calibri"/>
          <w:color w:val="5F6978"/>
          <w:sz w:val="18"/>
        </w:rPr>
        <w:t>Bell 2018, Table 1; DOI 10.1210/en.2018-00220.</w:t>
      </w:r>
    </w:p>
    <w:p>
      <w:pPr>
        <w:keepNext w:val="0"/>
        <w:spacing w:before="0" w:after="120" w:line="264" w:lineRule="auto"/>
      </w:pPr>
      <w:r>
        <w:rPr>
          <w:rFonts w:ascii="Calibri" w:hAnsi="Calibri"/>
          <w:b/>
          <w:color w:val="000000"/>
          <w:sz w:val="22"/>
        </w:rPr>
        <w:t xml:space="preserve">Mixed-sex rule: </w:t>
      </w:r>
      <w:r>
        <w:rPr>
          <w:rFonts w:ascii="Calibri" w:hAnsi="Calibri"/>
          <w:color w:val="000000"/>
          <w:sz w:val="22"/>
        </w:rPr>
        <w:t>classify a mixed-sex row only when the male and female rules give the same class at the recorded age. Otherwise code transitional_unclear and review it in sensitivity analysis.</w:t>
      </w:r>
    </w:p>
    <w:p>
      <w:pPr>
        <w:keepNext w:val="0"/>
        <w:spacing w:before="0" w:after="120" w:line="264" w:lineRule="auto"/>
      </w:pPr>
      <w:r>
        <w:rPr>
          <w:rFonts w:ascii="Calibri" w:hAnsi="Calibri"/>
          <w:b/>
          <w:color w:val="000000"/>
          <w:sz w:val="22"/>
        </w:rPr>
        <w:t xml:space="preserve">Boundary rule: </w:t>
      </w:r>
      <w:r>
        <w:rPr>
          <w:rFonts w:ascii="Calibri" w:hAnsi="Calibri"/>
          <w:color w:val="000000"/>
          <w:sz w:val="22"/>
        </w:rPr>
        <w:t>the present database contains no offspring ages below PND 18. If a future row falls below PND 18, do not force it into juvenile; record it for a new prespecified decision. Bell notes that exact timing can vary by strain and environmental context.</w:t>
      </w:r>
    </w:p>
    <w:p>
      <w:pPr>
        <w:keepNext w:val="0"/>
        <w:spacing w:before="0" w:after="120" w:line="264" w:lineRule="auto"/>
      </w:pPr>
      <w:r>
        <w:rPr>
          <w:rFonts w:ascii="Calibri" w:hAnsi="Calibri"/>
          <w:b/>
          <w:color w:val="000000"/>
          <w:sz w:val="22"/>
        </w:rPr>
        <w:t xml:space="preserve">Application to PCN v10: </w:t>
      </w:r>
      <w:r>
        <w:rPr>
          <w:rFonts w:ascii="Calibri" w:hAnsi="Calibri"/>
          <w:color w:val="000000"/>
          <w:sz w:val="22"/>
        </w:rPr>
        <w:t>52 effect sizes are juvenile, 78 adolescent, and 77 adult. No current row is transitional_unclear.</w:t>
      </w:r>
    </w:p>
    <w:p>
      <w:pPr>
        <w:pStyle w:val="Heading1"/>
        <w:keepNext/>
        <w:spacing w:before="320" w:after="160" w:line="240" w:lineRule="auto"/>
      </w:pPr>
      <w:r>
        <w:rPr>
          <w:rFonts w:ascii="Calibri" w:hAnsi="Calibri"/>
          <w:b/>
          <w:color w:val="2E74B5"/>
          <w:sz w:val="32"/>
        </w:rPr>
        <w:t>3. Codebook implementation</w:t>
      </w:r>
    </w:p>
    <w:p>
      <w:pPr>
        <w:keepNext w:val="0"/>
        <w:spacing w:before="0" w:after="120" w:line="264" w:lineRule="auto"/>
      </w:pPr>
      <w:r>
        <w:rPr>
          <w:rFonts w:ascii="Calibri" w:hAnsi="Calibri"/>
          <w:color w:val="000000"/>
          <w:sz w:val="22"/>
        </w:rPr>
        <w:t>The clean extraction file adds offspring_age_class immediately after offspring_age_d. It also renames gest_stage_ex_new to gest_window and uses the approved labels early_mid, mid_late, late, and full_gestation.</w:t>
      </w:r>
    </w:p>
    <w:p>
      <w:pPr>
        <w:keepNext w:val="0"/>
        <w:spacing w:before="0" w:after="120" w:line="264" w:lineRule="auto"/>
      </w:pPr>
      <w:r>
        <w:rPr>
          <w:rFonts w:ascii="Calibri" w:hAnsi="Calibri"/>
          <w:color w:val="000000"/>
          <w:sz w:val="22"/>
        </w:rPr>
        <w:t>measurement_variable is retained unchanged because it identifies the specific behavioural outcome. No independent-arm indicator is added because the control and exposed animals are distinct for every comparison; repeated measurements and shared groups will instead be represented by clustering identifiers in the derived analysis data.</w:t>
      </w:r>
    </w:p>
    <w:p>
      <w:pPr>
        <w:keepNext w:val="0"/>
        <w:spacing w:before="0" w:after="120" w:line="264" w:lineRule="auto"/>
      </w:pPr>
      <w:r>
        <w:rPr>
          <w:rFonts w:ascii="Calibri" w:hAnsi="Calibri"/>
          <w:color w:val="000000"/>
          <w:sz w:val="22"/>
        </w:rPr>
        <w:t>The original statistical names c_se and ex_se are restored for author-reported or directly extracted standard errors. Analysis-ready statistics use the _analysis suffix and contain the final values selected for modelling, including reproducible derivations where the author did not report the required statistic.</w:t>
      </w:r>
    </w:p>
    <w:p>
      <w:pPr>
        <w:pStyle w:val="Heading1"/>
        <w:keepNext/>
        <w:spacing w:before="320" w:after="160" w:line="240" w:lineRule="auto"/>
      </w:pPr>
      <w:r>
        <w:rPr>
          <w:rFonts w:ascii="Calibri" w:hAnsi="Calibri"/>
          <w:b/>
          <w:color w:val="2E74B5"/>
          <w:sz w:val="32"/>
        </w:rPr>
        <w:t>4. Standard-error provenance fields</w:t>
      </w:r>
    </w:p>
    <w:p>
      <w:pPr>
        <w:keepNext w:val="0"/>
        <w:spacing w:before="0" w:after="120" w:line="264" w:lineRule="auto"/>
      </w:pPr>
      <w:r>
        <w:rPr>
          <w:rFonts w:ascii="Calibri" w:hAnsi="Calibri"/>
          <w:b/>
          <w:color w:val="000000"/>
          <w:sz w:val="22"/>
        </w:rPr>
        <w:t xml:space="preserve">c_se: </w:t>
      </w:r>
      <w:r>
        <w:rPr>
          <w:rFonts w:ascii="Calibri" w:hAnsi="Calibri"/>
          <w:color w:val="000000"/>
          <w:sz w:val="22"/>
        </w:rPr>
        <w:t>Control-group SE reported by the authors or directly extracted from the source; preserved unchanged.</w:t>
      </w:r>
    </w:p>
    <w:p>
      <w:pPr>
        <w:keepNext w:val="0"/>
        <w:spacing w:before="0" w:after="120" w:line="264" w:lineRule="auto"/>
      </w:pPr>
      <w:r>
        <w:rPr>
          <w:rFonts w:ascii="Calibri" w:hAnsi="Calibri"/>
          <w:b/>
          <w:color w:val="000000"/>
          <w:sz w:val="22"/>
        </w:rPr>
        <w:t xml:space="preserve">c_se_analysis: </w:t>
      </w:r>
      <w:r>
        <w:rPr>
          <w:rFonts w:ascii="Calibri" w:hAnsi="Calibri"/>
          <w:color w:val="000000"/>
          <w:sz w:val="22"/>
        </w:rPr>
        <w:t>Final control-group SE selected for analysis. It equals c_se when reported and accepted; otherwise it is derived reproducibly.</w:t>
      </w:r>
    </w:p>
    <w:p>
      <w:pPr>
        <w:keepNext w:val="0"/>
        <w:spacing w:before="0" w:after="120" w:line="264" w:lineRule="auto"/>
      </w:pPr>
      <w:r>
        <w:rPr>
          <w:rFonts w:ascii="Calibri" w:hAnsi="Calibri"/>
          <w:b/>
          <w:color w:val="000000"/>
          <w:sz w:val="22"/>
        </w:rPr>
        <w:t xml:space="preserve">c_se_derivation: </w:t>
      </w:r>
      <w:r>
        <w:rPr>
          <w:rFonts w:ascii="Calibri" w:hAnsi="Calibri"/>
          <w:color w:val="000000"/>
          <w:sz w:val="22"/>
        </w:rPr>
        <w:t>Method used to obtain or validate c_se_analysis.</w:t>
      </w:r>
    </w:p>
    <w:p>
      <w:pPr>
        <w:keepNext w:val="0"/>
        <w:spacing w:before="0" w:after="120" w:line="264" w:lineRule="auto"/>
      </w:pPr>
      <w:r>
        <w:rPr>
          <w:rFonts w:ascii="Calibri" w:hAnsi="Calibri"/>
          <w:b/>
          <w:color w:val="000000"/>
          <w:sz w:val="22"/>
        </w:rPr>
        <w:t xml:space="preserve">c_se_source: </w:t>
      </w:r>
      <w:r>
        <w:rPr>
          <w:rFonts w:ascii="Calibri" w:hAnsi="Calibri"/>
          <w:color w:val="000000"/>
          <w:sz w:val="22"/>
        </w:rPr>
        <w:t>Text provenance for c_se_analysis: the exact paper table/figure, author file/email, or input source and derivation used. It is not a numeric SE and does not replace c_se.</w:t>
      </w:r>
    </w:p>
    <w:p>
      <w:pPr>
        <w:keepNext w:val="0"/>
        <w:spacing w:before="0" w:after="120" w:line="264" w:lineRule="auto"/>
      </w:pPr>
      <w:r>
        <w:rPr>
          <w:rFonts w:ascii="Calibri" w:hAnsi="Calibri"/>
          <w:color w:val="000000"/>
          <w:sz w:val="22"/>
        </w:rPr>
        <w:t>The experimental-arm variables ex_se, ex_se_analysis, ex_se_derivation, and ex_se_source use the same definitions.</w:t>
      </w:r>
    </w:p>
    <w:p>
      <w:pPr>
        <w:pStyle w:val="Heading1"/>
        <w:keepNext/>
        <w:spacing w:before="320" w:after="160" w:line="240" w:lineRule="auto"/>
      </w:pPr>
      <w:r>
        <w:rPr>
          <w:rFonts w:ascii="Calibri" w:hAnsi="Calibri"/>
          <w:b/>
          <w:color w:val="2E74B5"/>
          <w:sz w:val="32"/>
        </w:rPr>
        <w:t>5. References retained for citation</w:t>
      </w:r>
    </w:p>
    <w:p>
      <w:pPr>
        <w:keepNext w:val="0"/>
        <w:spacing w:before="0" w:after="120" w:line="264" w:lineRule="auto"/>
      </w:pPr>
      <w:r>
        <w:rPr>
          <w:rFonts w:ascii="Calibri" w:hAnsi="Calibri"/>
          <w:color w:val="000000"/>
          <w:sz w:val="22"/>
        </w:rPr>
        <w:t>Bell, M. R. (2018). Comparing postnatal development of gonadal hormones and associated social behaviors in rats, mice, and humans. Endocrinology, 159(7), 2596-2613. https://doi.org/10.1210/en.2018-00220</w:t>
      </w:r>
    </w:p>
    <w:p>
      <w:pPr>
        <w:keepNext w:val="0"/>
        <w:spacing w:before="0" w:after="120" w:line="264" w:lineRule="auto"/>
      </w:pPr>
      <w:r>
        <w:rPr>
          <w:rFonts w:ascii="Calibri" w:hAnsi="Calibri"/>
          <w:color w:val="000000"/>
          <w:sz w:val="22"/>
        </w:rPr>
        <w:t>Moore, E. M., Linsenbardt, D. N., Melón, L. C., &amp; Boehm, S. L., II. (2011). Ontogenetic differences in adolescent and adult C57BL/6J and DBA/2J mice: Anxiety-like, locomotor, and consummatory behaviors. Developmental Psychobiology, 53(2), 141-156. https://doi.org/10.1002/dev.20501</w:t>
      </w:r>
    </w:p>
    <w:p>
      <w:pPr>
        <w:keepNext w:val="0"/>
        <w:spacing w:before="0" w:after="120" w:line="264" w:lineRule="auto"/>
      </w:pPr>
      <w:r>
        <w:rPr>
          <w:rFonts w:ascii="Calibri" w:hAnsi="Calibri"/>
          <w:color w:val="000000"/>
          <w:sz w:val="22"/>
        </w:rPr>
        <w:t>Bell (2018) is the threshold authority for the operational rule. Moore et al. (2011) is retained as supporting context for mouse adolescence and behavioural testing across development.</w:t>
      </w:r>
    </w:p>
    <w:p>
      <w:pPr>
        <w:pStyle w:val="Heading1"/>
      </w:pPr>
      <w:r>
        <w:t>6. Standardized acoustic frequency-range variable</w:t>
      </w:r>
    </w:p>
    <w:p>
      <w:r>
        <w:t>The extraction database previously used noise_type_2 for a standardized classification with Audible, Ultrasound, and Unclear. The variable name did not state what these categories represented.</w:t>
      </w:r>
    </w:p>
    <w:p>
      <w:r>
        <w:t>Approved change: rename noise_type_2 to noise_frequency_range. The category values and classifications remain unchanged. This is a variable-name clarification and does not change eligibility, extracted values, effect sizes, VCV matrices, or model specifications.</w:t>
      </w:r>
    </w:p>
    <w:p>
      <w:r>
        <w:t>Codebook definition: Standardized acoustic frequency range of the exposure: Audible, Ultrasound, or Unclear. The uni-moderator analysis treats Unclear as missing rather than as a moderator level.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keepNext w:val="0"/>
      <w:spacing w:before="0" w:after="0" w:line="240" w:lineRule="auto"/>
      <w:jc w:val="right"/>
    </w:pPr>
    <w:r>
      <w:rPr>
        <w:rFonts w:ascii="Calibri" w:hAnsi="Calibri"/>
        <w:color w:val="5F6978"/>
        <w:sz w:val="18"/>
      </w:rPr>
      <w:t xml:space="preserve">PCNE | 2026-08-18 | Page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keepNext w:val="0"/>
      <w:spacing w:before="0" w:after="0" w:line="240" w:lineRule="auto"/>
      <w:jc w:val="left"/>
    </w:pPr>
    <w:r>
      <w:rPr>
        <w:rFonts w:ascii="Calibri" w:hAnsi="Calibri"/>
        <w:b/>
        <w:color w:val="5F6978"/>
        <w:sz w:val="18"/>
      </w:rPr>
      <w:t>PCNE PROTOCOL DEVIATION ADDENDUM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Calibri" w:hAnsi="Calibr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PCNE Protocol Deviation Addendum: Offspring Age Classification</dc:title>
  <dc:subject>Approved offspring age thresholds and codebook definitions</dc:subject>
  <dc:creator>Anna Lenz</dc:creator>
  <cp:keywords>prenatal chronic noise; rodent; offspring age; protocol deviation; meta-analysis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