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f3a25bc2947357b114484ed816d6cdb13ccad15"/>
    <w:p>
      <w:pPr>
        <w:pStyle w:val="Title"/>
        <w:widowControl/>
        <w:jc w:val="left"/>
      </w:pPr>
      <w:r>
        <w:rPr>
          <w:rFonts w:ascii="Times New Roman" w:hAnsi="Times New Roman"/>
          <w:b/>
          <w:color w:val="000000"/>
          <w:sz w:val="32"/>
        </w:rPr>
        <w:t xml:space="preserve">Manuscript plan: prenatal chronic noise exposure and offspring behaviour</w:t>
      </w:r>
    </w:p>
    <w:p>
      <w:pPr>
        <w:pStyle w:val="Subtitle"/>
        <w:widowControl/>
        <w:spacing w:before="0" w:after="280"/>
      </w:pPr>
      <w:r>
        <w:rPr>
          <w:rFonts w:ascii="Times New Roman" w:hAnsi="Times New Roman"/>
          <w:i/>
          <w:color w:val="000000"/>
          <w:sz w:val="22"/>
        </w:rPr>
        <w:t>Manuscript outline and Methods working draft</w:t>
      </w:r>
    </w:p>
    <w:bookmarkStart w:id="9" w:name="working-title"/>
    <w:p>
      <w:pPr>
        <w:pStyle w:val="Heading1"/>
        <w:widowControl/>
      </w:pPr>
      <w:r>
        <w:rPr>
          <w:rFonts w:ascii="Times New Roman" w:hAnsi="Times New Roman"/>
          <w:color w:val="000000"/>
        </w:rPr>
        <w:t xml:space="preserve">Working title</w:t>
      </w:r>
    </w:p>
    <w:p>
      <w:pPr>
        <w:pStyle w:val="FirstParagraph"/>
        <w:widowControl/>
      </w:pPr>
      <w:r>
        <w:rPr>
          <w:rFonts w:ascii="Times New Roman" w:hAnsi="Times New Roman"/>
          <w:b/>
          <w:bCs/>
          <w:color w:val="000000"/>
        </w:rPr>
        <w:t xml:space="preserve">Effects of prenatal chronic noise exposure on anxiety- and depression-like behaviours in rodent offspring: a systematic review and multilevel meta-analysis</w:t>
      </w:r>
    </w:p>
    <w:p>
      <w:pPr>
        <w:pStyle w:val="BodyText"/>
        <w:widowControl/>
      </w:pPr>
      <w:r>
        <w:rPr>
          <w:rFonts w:ascii="Times New Roman" w:hAnsi="Times New Roman"/>
          <w:color w:val="000000"/>
        </w:rPr>
        <w:t xml:space="preserve">This neutral title is preferable until the analysis is final because the current overall confidence intervals include no effect.</w:t>
      </w:r>
    </w:p>
    <w:bookmarkEnd w:id="9"/>
    <w:bookmarkStart w:id="10" w:name="version-basis-and-drafting-rules"/>
    <w:p>
      <w:pPr>
        <w:pStyle w:val="Heading1"/>
        <w:widowControl/>
      </w:pPr>
      <w:r>
        <w:rPr>
          <w:rFonts w:ascii="Times New Roman" w:hAnsi="Times New Roman"/>
          <w:color w:val="000000"/>
        </w:rPr>
        <w:t xml:space="preserve">Version basis and drafting rules</w:t>
      </w:r>
    </w:p>
    <w:p>
      <w:pPr>
        <w:pStyle w:val="FirstParagraph"/>
        <w:widowControl/>
      </w:pPr>
      <w:r>
        <w:rPr>
          <w:rFonts w:ascii="Times New Roman" w:hAnsi="Times New Roman"/>
          <w:color w:val="000000"/>
        </w:rPr>
        <w:t xml:space="preserve">This plan is based on the registered protocol (v4, 11 November 2025), the protocol-deviation documents updated through 3 September 2026, the current</w:t>
      </w:r>
      <w:r>
        <w:rPr>
          <w:rFonts w:ascii="Times New Roman" w:hAnsi="Times New Roman"/>
          <w:color w:val="000000"/>
        </w:rPr>
        <w:t xml:space="preserve"> </w:t>
      </w:r>
      <w:r>
        <w:rPr>
          <w:rStyle w:val="VerbatimChar"/>
          <w:rFonts w:ascii="Times New Roman" w:hAnsi="Times New Roman"/>
          <w:color w:val="000000"/>
        </w:rPr>
        <w:t xml:space="preserve">pcne_book</w:t>
      </w:r>
      <w:r>
        <w:rPr>
          <w:rFonts w:ascii="Times New Roman" w:hAnsi="Times New Roman"/>
          <w:color w:val="000000"/>
        </w:rPr>
        <w:t xml:space="preserve">, and the analysis dataset rendered on 2 September 2026. Current numerical results are provisional until the book is rerendered after the final data and naming decisions.</w:t>
      </w:r>
    </w:p>
    <w:p>
      <w:pPr>
        <w:pStyle w:val="BodyText"/>
        <w:widowControl/>
      </w:pPr>
      <w:r>
        <w:rPr>
          <w:rFonts w:ascii="Times New Roman" w:hAnsi="Times New Roman"/>
          <w:color w:val="000000"/>
        </w:rPr>
        <w:t xml:space="preserve">Drafting rules:</w:t>
      </w:r>
    </w:p>
    <w:p>
      <w:pPr>
        <w:pStyle w:val="Compact"/>
        <w:widowControl/>
        <w:numPr>
          <w:ilvl w:val="0"/>
          <w:numId w:val="1001"/>
        </w:numPr>
      </w:pPr>
      <w:r>
        <w:rPr>
          <w:rFonts w:ascii="Times New Roman" w:hAnsi="Times New Roman"/>
          <w:color w:val="000000"/>
        </w:rPr>
        <w:t xml:space="preserve">Use the protocol’s direct first-person style: “We searched,” “We extracted,” and “We fitted.”</w:t>
      </w:r>
    </w:p>
    <w:p>
      <w:pPr>
        <w:pStyle w:val="Compact"/>
        <w:widowControl/>
        <w:numPr>
          <w:ilvl w:val="0"/>
          <w:numId w:val="1001"/>
        </w:numPr>
      </w:pPr>
      <w:r>
        <w:rPr>
          <w:rFonts w:ascii="Times New Roman" w:hAnsi="Times New Roman"/>
          <w:color w:val="000000"/>
        </w:rPr>
        <w:t xml:space="preserve">Keep the subject and verb close, prefer active voice, and use specific quantities rather than “many” or “most.”</w:t>
      </w:r>
    </w:p>
    <w:p>
      <w:pPr>
        <w:pStyle w:val="Compact"/>
        <w:widowControl/>
        <w:numPr>
          <w:ilvl w:val="0"/>
          <w:numId w:val="1001"/>
        </w:numPr>
      </w:pPr>
      <w:r>
        <w:rPr>
          <w:rFonts w:ascii="Times New Roman" w:hAnsi="Times New Roman"/>
          <w:color w:val="000000"/>
        </w:rPr>
        <w:t xml:space="preserve">Build each paragraph around one job and link the last idea of one sentence to the first idea of the next.</w:t>
      </w:r>
    </w:p>
    <w:p>
      <w:pPr>
        <w:pStyle w:val="Compact"/>
        <w:widowControl/>
        <w:numPr>
          <w:ilvl w:val="0"/>
          <w:numId w:val="1001"/>
        </w:numPr>
      </w:pPr>
      <w:r>
        <w:rPr>
          <w:rFonts w:ascii="Times New Roman" w:hAnsi="Times New Roman"/>
          <w:color w:val="000000"/>
        </w:rPr>
        <w:t xml:space="preserve">Report estimates with confidence intervals before interpreting p-values.</w:t>
      </w:r>
    </w:p>
    <w:p>
      <w:pPr>
        <w:pStyle w:val="Compact"/>
        <w:widowControl/>
        <w:numPr>
          <w:ilvl w:val="0"/>
          <w:numId w:val="1001"/>
        </w:numPr>
      </w:pPr>
      <w:r>
        <w:rPr>
          <w:rFonts w:ascii="Times New Roman" w:hAnsi="Times New Roman"/>
          <w:color w:val="000000"/>
        </w:rPr>
        <w:t xml:space="preserve">Distinguish absence of clear evidence from evidence of no effect.</w:t>
      </w:r>
    </w:p>
    <w:p>
      <w:pPr>
        <w:pStyle w:val="Compact"/>
        <w:widowControl/>
        <w:numPr>
          <w:ilvl w:val="0"/>
          <w:numId w:val="1001"/>
        </w:numPr>
      </w:pPr>
      <w:r>
        <w:rPr>
          <w:rFonts w:ascii="Times New Roman" w:hAnsi="Times New Roman"/>
          <w:color w:val="000000"/>
        </w:rPr>
        <w:t xml:space="preserve">Treat all uni-moderator analyses as separate, non-additive, exploratory comparisons. Do not rank moderators only by statistical significance.</w:t>
      </w:r>
    </w:p>
    <w:p>
      <w:pPr>
        <w:pStyle w:val="Compact"/>
        <w:widowControl/>
        <w:numPr>
          <w:ilvl w:val="0"/>
          <w:numId w:val="1001"/>
        </w:numPr>
      </w:pPr>
      <w:r>
        <w:rPr>
          <w:rFonts w:ascii="Times New Roman" w:hAnsi="Times New Roman"/>
          <w:color w:val="000000"/>
        </w:rPr>
        <w:t xml:space="preserve">Use “studies” for independent reports and</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for effect sizes. Always show both where possible.</w:t>
      </w:r>
    </w:p>
    <w:p>
      <w:pPr>
        <w:pStyle w:val="Compact"/>
        <w:widowControl/>
        <w:numPr>
          <w:ilvl w:val="0"/>
          <w:numId w:val="1001"/>
        </w:numPr>
      </w:pPr>
      <w:r>
        <w:rPr>
          <w:rFonts w:ascii="Times New Roman" w:hAnsi="Times New Roman"/>
          <w:color w:val="000000"/>
        </w:rPr>
        <w:t xml:space="preserve">Use “anxiety- and depression-like behaviours,” not human clinical diagnoses, when describing rodents.</w:t>
      </w:r>
    </w:p>
    <w:bookmarkEnd w:id="10"/>
    <w:bookmarkStart w:id="11" w:name="hard-word-budget"/>
    <w:p>
      <w:pPr>
        <w:pStyle w:val="Heading1"/>
        <w:keepNext/>
        <w:widowControl/>
      </w:pPr>
      <w:r>
        <w:rPr>
          <w:rFonts w:ascii="Times New Roman" w:hAnsi="Times New Roman"/>
          <w:color w:val="000000"/>
        </w:rPr>
        <w:t xml:space="preserve">Hard word budget</w:t>
      </w:r>
    </w:p>
    <w:p>
      <w:pPr>
        <w:pStyle w:val="FirstParagraph"/>
        <w:keepNext/>
        <w:widowControl/>
      </w:pPr>
      <w:r>
        <w:rPr>
          <w:rFonts w:ascii="Times New Roman" w:hAnsi="Times New Roman"/>
          <w:color w:val="000000"/>
        </w:rPr>
        <w:t xml:space="preserve">Target the manuscript at about 7,700 words to leave a 300-word revision buffer below the 8,000-word ceiling.</w:t>
      </w:r>
    </w:p>
    <w:p>
      <w:pPr>
        <w:keepNext/>
        <w:widowControl/>
        <w:spacing w:after="60" w:line="276" w:lineRule="auto"/>
        <w:ind w:left="360" w:firstLine="0"/>
      </w:pPr>
      <w:r>
        <w:rPr>
          <w:rFonts w:ascii="Times New Roman" w:hAnsi="Times New Roman"/>
          <w:b/>
          <w:color w:val="000000"/>
          <w:sz w:val="22"/>
        </w:rPr>
        <w:t xml:space="preserve">Title, keywords, headings: </w:t>
      </w:r>
      <w:r>
        <w:rPr>
          <w:rFonts w:ascii="Times New Roman" w:hAnsi="Times New Roman"/>
          <w:b w:val="0"/>
          <w:color w:val="000000"/>
          <w:sz w:val="22"/>
        </w:rPr>
        <w:t>target 100 words; hard ceiling 120 words.</w:t>
      </w:r>
    </w:p>
    <w:p>
      <w:pPr>
        <w:keepNext/>
        <w:widowControl/>
        <w:spacing w:after="60" w:line="276" w:lineRule="auto"/>
        <w:ind w:left="360" w:firstLine="0"/>
      </w:pPr>
      <w:r>
        <w:rPr>
          <w:rFonts w:ascii="Times New Roman" w:hAnsi="Times New Roman"/>
          <w:b/>
          <w:color w:val="000000"/>
          <w:sz w:val="22"/>
        </w:rPr>
        <w:t xml:space="preserve">Abstract: </w:t>
      </w:r>
      <w:r>
        <w:rPr>
          <w:rFonts w:ascii="Times New Roman" w:hAnsi="Times New Roman"/>
          <w:b w:val="0"/>
          <w:color w:val="000000"/>
          <w:sz w:val="22"/>
        </w:rPr>
        <w:t>target 230 words; hard ceiling 250 words.</w:t>
      </w:r>
    </w:p>
    <w:p>
      <w:pPr>
        <w:keepNext/>
        <w:widowControl/>
        <w:spacing w:after="60" w:line="276" w:lineRule="auto"/>
        <w:ind w:left="360" w:firstLine="0"/>
      </w:pPr>
      <w:r>
        <w:rPr>
          <w:rFonts w:ascii="Times New Roman" w:hAnsi="Times New Roman"/>
          <w:b/>
          <w:color w:val="000000"/>
          <w:sz w:val="22"/>
        </w:rPr>
        <w:t xml:space="preserve">Introduction: </w:t>
      </w:r>
      <w:r>
        <w:rPr>
          <w:rFonts w:ascii="Times New Roman" w:hAnsi="Times New Roman"/>
          <w:b w:val="0"/>
          <w:color w:val="000000"/>
          <w:sz w:val="22"/>
        </w:rPr>
        <w:t>target 600 words; hard ceiling 650 words.</w:t>
      </w:r>
    </w:p>
    <w:p>
      <w:pPr>
        <w:keepNext/>
        <w:widowControl/>
        <w:spacing w:after="60" w:line="276" w:lineRule="auto"/>
        <w:ind w:left="360" w:firstLine="0"/>
      </w:pPr>
      <w:r>
        <w:rPr>
          <w:rFonts w:ascii="Times New Roman" w:hAnsi="Times New Roman"/>
          <w:b/>
          <w:color w:val="000000"/>
          <w:sz w:val="22"/>
        </w:rPr>
        <w:t xml:space="preserve">Results: </w:t>
      </w:r>
      <w:r>
        <w:rPr>
          <w:rFonts w:ascii="Times New Roman" w:hAnsi="Times New Roman"/>
          <w:b w:val="0"/>
          <w:color w:val="000000"/>
          <w:sz w:val="22"/>
        </w:rPr>
        <w:t>target 950 words; hard ceiling 1,050 words.</w:t>
      </w:r>
    </w:p>
    <w:p>
      <w:pPr>
        <w:keepNext/>
        <w:widowControl/>
        <w:spacing w:after="60" w:line="276" w:lineRule="auto"/>
        <w:ind w:left="360" w:firstLine="0"/>
      </w:pPr>
      <w:r>
        <w:rPr>
          <w:rFonts w:ascii="Times New Roman" w:hAnsi="Times New Roman"/>
          <w:b/>
          <w:color w:val="000000"/>
          <w:sz w:val="22"/>
        </w:rPr>
        <w:t xml:space="preserve">Discussion: </w:t>
      </w:r>
      <w:r>
        <w:rPr>
          <w:rFonts w:ascii="Times New Roman" w:hAnsi="Times New Roman"/>
          <w:b w:val="0"/>
          <w:color w:val="000000"/>
          <w:sz w:val="22"/>
        </w:rPr>
        <w:t>target 750 words; hard ceiling 850 words.</w:t>
      </w:r>
    </w:p>
    <w:p>
      <w:pPr>
        <w:keepNext/>
        <w:widowControl/>
        <w:spacing w:after="60" w:line="276" w:lineRule="auto"/>
        <w:ind w:left="360" w:firstLine="0"/>
      </w:pPr>
      <w:r>
        <w:rPr>
          <w:rFonts w:ascii="Times New Roman" w:hAnsi="Times New Roman"/>
          <w:b/>
          <w:color w:val="000000"/>
          <w:sz w:val="22"/>
        </w:rPr>
        <w:t xml:space="preserve">Methods: </w:t>
      </w:r>
      <w:r>
        <w:rPr>
          <w:rFonts w:ascii="Times New Roman" w:hAnsi="Times New Roman"/>
          <w:b w:val="0"/>
          <w:color w:val="000000"/>
          <w:sz w:val="22"/>
        </w:rPr>
        <w:t>target 1,400 words; hard ceiling 1,500 words.</w:t>
      </w:r>
    </w:p>
    <w:p>
      <w:pPr>
        <w:keepNext/>
        <w:widowControl/>
        <w:spacing w:after="60" w:line="276" w:lineRule="auto"/>
        <w:ind w:left="360" w:firstLine="0"/>
      </w:pPr>
      <w:r>
        <w:rPr>
          <w:rFonts w:ascii="Times New Roman" w:hAnsi="Times New Roman"/>
          <w:b/>
          <w:color w:val="000000"/>
          <w:sz w:val="22"/>
        </w:rPr>
        <w:t xml:space="preserve">Author contributions, funding, competing interests, data/code availability: </w:t>
      </w:r>
      <w:r>
        <w:rPr>
          <w:rFonts w:ascii="Times New Roman" w:hAnsi="Times New Roman"/>
          <w:b w:val="0"/>
          <w:color w:val="000000"/>
          <w:sz w:val="22"/>
        </w:rPr>
        <w:t>target 150 words; hard ceiling 180 words.</w:t>
      </w:r>
    </w:p>
    <w:p>
      <w:pPr>
        <w:keepNext/>
        <w:widowControl/>
        <w:spacing w:after="60" w:line="276" w:lineRule="auto"/>
        <w:ind w:left="360" w:firstLine="0"/>
      </w:pPr>
      <w:r>
        <w:rPr>
          <w:rFonts w:ascii="Times New Roman" w:hAnsi="Times New Roman"/>
          <w:b/>
          <w:color w:val="000000"/>
          <w:sz w:val="22"/>
        </w:rPr>
        <w:t xml:space="preserve">References (estimated 40-45 references): </w:t>
      </w:r>
      <w:r>
        <w:rPr>
          <w:rFonts w:ascii="Times New Roman" w:hAnsi="Times New Roman"/>
          <w:b w:val="0"/>
          <w:color w:val="000000"/>
          <w:sz w:val="22"/>
        </w:rPr>
        <w:t>target 900 words; hard ceiling 1,000 words.</w:t>
      </w:r>
    </w:p>
    <w:p>
      <w:pPr>
        <w:keepNext/>
        <w:widowControl/>
        <w:spacing w:after="60" w:line="276" w:lineRule="auto"/>
        <w:ind w:left="360" w:firstLine="0"/>
      </w:pPr>
      <w:r>
        <w:rPr>
          <w:rFonts w:ascii="Times New Roman" w:hAnsi="Times New Roman"/>
          <w:b/>
          <w:color w:val="000000"/>
          <w:sz w:val="22"/>
        </w:rPr>
        <w:t xml:space="preserve">Eight main figures at approximately 300 words each: </w:t>
      </w:r>
      <w:r>
        <w:rPr>
          <w:rFonts w:ascii="Times New Roman" w:hAnsi="Times New Roman"/>
          <w:b w:val="0"/>
          <w:color w:val="000000"/>
          <w:sz w:val="22"/>
        </w:rPr>
        <w:t>target 2,400 words; hard ceiling 2,400 words.</w:t>
      </w:r>
    </w:p>
    <w:p>
      <w:pPr>
        <w:keepNext w:val="0"/>
        <w:widowControl/>
        <w:spacing w:after="60" w:line="276" w:lineRule="auto"/>
        <w:ind w:left="360" w:firstLine="0"/>
      </w:pPr>
      <w:r>
        <w:rPr>
          <w:rFonts w:ascii="Times New Roman" w:hAnsi="Times New Roman"/>
          <w:b/>
          <w:color w:val="000000"/>
          <w:sz w:val="22"/>
        </w:rPr>
        <w:t xml:space="preserve">Total: </w:t>
      </w:r>
      <w:r>
        <w:rPr>
          <w:rFonts w:ascii="Times New Roman" w:hAnsi="Times New Roman"/>
          <w:b/>
          <w:color w:val="000000"/>
          <w:sz w:val="22"/>
        </w:rPr>
        <w:t>target 7,480 words; hard ceiling 8,000 words.</w:t>
      </w:r>
    </w:p>
    <w:p>
      <w:pPr>
        <w:pStyle w:val="BodyText"/>
        <w:widowControl/>
      </w:pPr>
      <w:r>
        <w:rPr>
          <w:rFonts w:ascii="Times New Roman" w:hAnsi="Times New Roman"/>
          <w:color w:val="000000"/>
        </w:rPr>
        <w:t xml:space="preserve">The supplementary material in Appendix III should carry full search strings, excluded-report lists, equations or implementation detail that the journal permits outside the main word count, complete moderator outputs, and secondary sensitivity analyses.</w:t>
      </w:r>
    </w:p>
    <w:bookmarkEnd w:id="11"/>
    <w:bookmarkStart w:id="12" w:name="story-in-one-sentence"/>
    <w:p>
      <w:pPr>
        <w:pStyle w:val="Heading1"/>
        <w:widowControl/>
      </w:pPr>
      <w:r>
        <w:rPr>
          <w:rFonts w:ascii="Times New Roman" w:hAnsi="Times New Roman"/>
          <w:color w:val="000000"/>
        </w:rPr>
        <w:t xml:space="preserve">Story in one sentence</w:t>
      </w:r>
    </w:p>
    <w:p>
      <w:pPr>
        <w:pStyle w:val="FirstParagraph"/>
        <w:widowControl/>
      </w:pPr>
      <w:r>
        <w:rPr>
          <w:rFonts w:ascii="Times New Roman" w:hAnsi="Times New Roman"/>
          <w:color w:val="000000"/>
        </w:rPr>
        <w:t xml:space="preserve">Prenatal chronic noise exposure may alter mean anxiety-like behaviour in rodent offspring, but the evidence is heterogeneous, depends on what and how researchers measure, and is too uneven across biological and exposure contexts for a simple general conclusion.</w:t>
      </w:r>
    </w:p>
    <w:bookmarkEnd w:id="12"/>
    <w:bookmarkStart w:id="38" w:name="section-by-section-outline"/>
    <w:p>
      <w:pPr>
        <w:pStyle w:val="Heading1"/>
        <w:widowControl/>
      </w:pPr>
      <w:r>
        <w:rPr>
          <w:rFonts w:ascii="Times New Roman" w:hAnsi="Times New Roman"/>
          <w:color w:val="000000"/>
        </w:rPr>
        <w:t xml:space="preserve">Section-by-section outline</w:t>
      </w:r>
    </w:p>
    <w:bookmarkStart w:id="13" w:name="abstract-230-words"/>
    <w:p>
      <w:pPr>
        <w:pStyle w:val="Heading2"/>
        <w:widowControl/>
      </w:pPr>
      <w:r>
        <w:rPr>
          <w:rFonts w:ascii="Times New Roman" w:hAnsi="Times New Roman"/>
          <w:color w:val="000000"/>
        </w:rPr>
        <w:t xml:space="preserve">Abstract — 230 words</w:t>
      </w:r>
    </w:p>
    <w:p>
      <w:pPr>
        <w:pStyle w:val="FirstParagraph"/>
        <w:widowControl/>
      </w:pPr>
      <w:r>
        <w:rPr>
          <w:rFonts w:ascii="Times New Roman" w:hAnsi="Times New Roman"/>
          <w:color w:val="000000"/>
        </w:rPr>
        <w:t xml:space="preserve">Use six compact moves:</w:t>
      </w:r>
    </w:p>
    <w:p>
      <w:pPr>
        <w:pStyle w:val="Compact"/>
        <w:widowControl/>
        <w:numPr>
          <w:ilvl w:val="0"/>
          <w:numId w:val="1002"/>
        </w:numPr>
      </w:pPr>
      <w:r>
        <w:rPr>
          <w:rFonts w:ascii="Times New Roman" w:hAnsi="Times New Roman"/>
          <w:b/>
          <w:bCs/>
          <w:color w:val="000000"/>
        </w:rPr>
        <w:t xml:space="preserve">Context (35 words):</w:t>
      </w:r>
      <w:r>
        <w:rPr>
          <w:rFonts w:ascii="Times New Roman" w:hAnsi="Times New Roman"/>
          <w:color w:val="000000"/>
        </w:rPr>
        <w:t xml:space="preserve"> </w:t>
      </w:r>
      <w:r>
        <w:rPr>
          <w:rFonts w:ascii="Times New Roman" w:hAnsi="Times New Roman"/>
          <w:color w:val="000000"/>
        </w:rPr>
        <w:t xml:space="preserve">Prenatal noise is a common environmental stressor, but experimental evidence for lasting affect-related effects is dispersed and heterogeneous.</w:t>
      </w:r>
    </w:p>
    <w:p>
      <w:pPr>
        <w:pStyle w:val="Compact"/>
        <w:widowControl/>
        <w:numPr>
          <w:ilvl w:val="0"/>
          <w:numId w:val="1002"/>
        </w:numPr>
      </w:pPr>
      <w:r>
        <w:rPr>
          <w:rFonts w:ascii="Times New Roman" w:hAnsi="Times New Roman"/>
          <w:b/>
          <w:bCs/>
          <w:color w:val="000000"/>
        </w:rPr>
        <w:t xml:space="preserve">Gap (25 words):</w:t>
      </w:r>
      <w:r>
        <w:rPr>
          <w:rFonts w:ascii="Times New Roman" w:hAnsi="Times New Roman"/>
          <w:color w:val="000000"/>
        </w:rPr>
        <w:t xml:space="preserve"> </w:t>
      </w:r>
      <w:r>
        <w:rPr>
          <w:rFonts w:ascii="Times New Roman" w:hAnsi="Times New Roman"/>
          <w:color w:val="000000"/>
        </w:rPr>
        <w:t xml:space="preserve">No quantitative synthesis has jointly evaluated changes in mean behaviour and inter-individual variability.</w:t>
      </w:r>
    </w:p>
    <w:p>
      <w:pPr>
        <w:pStyle w:val="Compact"/>
        <w:widowControl/>
        <w:numPr>
          <w:ilvl w:val="0"/>
          <w:numId w:val="1002"/>
        </w:numPr>
      </w:pPr>
      <w:r>
        <w:rPr>
          <w:rFonts w:ascii="Times New Roman" w:hAnsi="Times New Roman"/>
          <w:b/>
          <w:bCs/>
          <w:color w:val="000000"/>
        </w:rPr>
        <w:t xml:space="preserve">Methods (60 words):</w:t>
      </w:r>
      <w:r>
        <w:rPr>
          <w:rFonts w:ascii="Times New Roman" w:hAnsi="Times New Roman"/>
          <w:color w:val="000000"/>
        </w:rPr>
        <w:t xml:space="preserve"> </w:t>
      </w:r>
      <w:r>
        <w:rPr>
          <w:rFonts w:ascii="Times New Roman" w:hAnsi="Times New Roman"/>
          <w:color w:val="000000"/>
        </w:rPr>
        <w:t xml:space="preserve">Preregistered systematic review; seven search sources; 16 studies; 187 lnRR and 175 lnVR effect sizes; multilevel models with sampling covariances and study, effect-size, and strain random effects.</w:t>
      </w:r>
    </w:p>
    <w:p>
      <w:pPr>
        <w:pStyle w:val="Compact"/>
        <w:widowControl/>
        <w:numPr>
          <w:ilvl w:val="0"/>
          <w:numId w:val="1002"/>
        </w:numPr>
      </w:pPr>
      <w:r>
        <w:rPr>
          <w:rFonts w:ascii="Times New Roman" w:hAnsi="Times New Roman"/>
          <w:b/>
          <w:bCs/>
          <w:color w:val="000000"/>
        </w:rPr>
        <w:t xml:space="preserve">Overall results (45 words):</w:t>
      </w:r>
      <w:r>
        <w:rPr>
          <w:rFonts w:ascii="Times New Roman" w:hAnsi="Times New Roman"/>
          <w:color w:val="000000"/>
        </w:rPr>
        <w:t xml:space="preserve"> </w:t>
      </w:r>
      <w:r>
        <w:rPr>
          <w:rFonts w:ascii="Times New Roman" w:hAnsi="Times New Roman"/>
          <w:color w:val="000000"/>
        </w:rPr>
        <w:t xml:space="preserve">Current lnRR = 0.197, 95% CI [-0.055, 0.449]; current lnVR = -0.042, 95% CI [-0.206, 0.122]. Translate cautiously: approximately 22% higher mean adverse behaviour, but the interval includes no difference.</w:t>
      </w:r>
    </w:p>
    <w:p>
      <w:pPr>
        <w:pStyle w:val="Compact"/>
        <w:widowControl/>
        <w:numPr>
          <w:ilvl w:val="0"/>
          <w:numId w:val="1002"/>
        </w:numPr>
      </w:pPr>
      <w:r>
        <w:rPr>
          <w:rFonts w:ascii="Times New Roman" w:hAnsi="Times New Roman"/>
          <w:b/>
          <w:bCs/>
          <w:color w:val="000000"/>
        </w:rPr>
        <w:t xml:space="preserve">Heterogeneity/moderators/robustness (45 words):</w:t>
      </w:r>
      <w:r>
        <w:rPr>
          <w:rFonts w:ascii="Times New Roman" w:hAnsi="Times New Roman"/>
          <w:color w:val="000000"/>
        </w:rPr>
        <w:t xml:space="preserve"> </w:t>
      </w:r>
      <w:r>
        <w:rPr>
          <w:rFonts w:ascii="Times New Roman" w:hAnsi="Times New Roman"/>
          <w:color w:val="000000"/>
        </w:rPr>
        <w:t xml:space="preserve">High heterogeneity; outcome-type contrast for lnRR; selected biological and methodological moderators; no small-study or time-lag pattern; Abramova-laboratory exclusion did not materially change the estimate.</w:t>
      </w:r>
    </w:p>
    <w:p>
      <w:pPr>
        <w:pStyle w:val="Compact"/>
        <w:widowControl/>
        <w:numPr>
          <w:ilvl w:val="0"/>
          <w:numId w:val="1002"/>
        </w:numPr>
      </w:pPr>
      <w:r>
        <w:rPr>
          <w:rFonts w:ascii="Times New Roman" w:hAnsi="Times New Roman"/>
          <w:b/>
          <w:bCs/>
          <w:color w:val="000000"/>
        </w:rPr>
        <w:t xml:space="preserve">Conclusion (20 words):</w:t>
      </w:r>
      <w:r>
        <w:rPr>
          <w:rFonts w:ascii="Times New Roman" w:hAnsi="Times New Roman"/>
          <w:color w:val="000000"/>
        </w:rPr>
        <w:t xml:space="preserve"> </w:t>
      </w:r>
      <w:r>
        <w:rPr>
          <w:rFonts w:ascii="Times New Roman" w:hAnsi="Times New Roman"/>
          <w:color w:val="000000"/>
        </w:rPr>
        <w:t xml:space="preserve">Emphasize uncertainty, uneven evidence coverage, and the need for better-reported, sex-balanced, independently replicated experiments.</w:t>
      </w:r>
    </w:p>
    <w:p>
      <w:pPr>
        <w:pStyle w:val="FirstParagraph"/>
        <w:widowControl/>
      </w:pPr>
      <w:r>
        <w:rPr>
          <w:rFonts w:ascii="Times New Roman" w:hAnsi="Times New Roman"/>
          <w:color w:val="000000"/>
        </w:rPr>
        <w:t xml:space="preserve">Do not write “prenatal noise had no effect.” The current result is imprecise and compatible with effects in both directions.</w:t>
      </w:r>
    </w:p>
    <w:bookmarkEnd w:id="13"/>
    <w:bookmarkStart w:id="19" w:name="introduction-600-words"/>
    <w:p>
      <w:pPr>
        <w:pStyle w:val="Heading2"/>
        <w:widowControl/>
      </w:pPr>
      <w:r>
        <w:rPr>
          <w:rFonts w:ascii="Times New Roman" w:hAnsi="Times New Roman"/>
          <w:color w:val="000000"/>
        </w:rPr>
        <w:t xml:space="preserve">Introduction — 600 words</w:t>
      </w:r>
    </w:p>
    <w:bookmarkStart w:id="14" w:name="X4886f5ac37550f00343d4411d85d6133377a979"/>
    <w:p>
      <w:pPr>
        <w:pStyle w:val="Heading3"/>
        <w:widowControl/>
      </w:pPr>
      <w:r>
        <w:rPr>
          <w:rFonts w:ascii="Times New Roman" w:hAnsi="Times New Roman"/>
          <w:color w:val="000000"/>
        </w:rPr>
        <w:t xml:space="preserve">Paragraph 1 — Why prenatal noise matters (120 words)</w:t>
      </w:r>
    </w:p>
    <w:p>
      <w:pPr>
        <w:pStyle w:val="Compact"/>
        <w:widowControl/>
        <w:numPr>
          <w:ilvl w:val="0"/>
          <w:numId w:val="1003"/>
        </w:numPr>
      </w:pPr>
      <w:r>
        <w:rPr>
          <w:rFonts w:ascii="Times New Roman" w:hAnsi="Times New Roman"/>
          <w:color w:val="000000"/>
        </w:rPr>
        <w:t xml:space="preserve">Introduce environmental noise as a widespread stressor.</w:t>
      </w:r>
    </w:p>
    <w:p>
      <w:pPr>
        <w:pStyle w:val="Compact"/>
        <w:widowControl/>
        <w:numPr>
          <w:ilvl w:val="0"/>
          <w:numId w:val="1003"/>
        </w:numPr>
      </w:pPr>
      <w:r>
        <w:rPr>
          <w:rFonts w:ascii="Times New Roman" w:hAnsi="Times New Roman"/>
          <w:color w:val="000000"/>
        </w:rPr>
        <w:t xml:space="preserve">Explain why gestation is a sensitive period for neurodevelopmental programming.</w:t>
      </w:r>
    </w:p>
    <w:p>
      <w:pPr>
        <w:pStyle w:val="Compact"/>
        <w:widowControl/>
        <w:numPr>
          <w:ilvl w:val="0"/>
          <w:numId w:val="1003"/>
        </w:numPr>
      </w:pPr>
      <w:r>
        <w:rPr>
          <w:rFonts w:ascii="Times New Roman" w:hAnsi="Times New Roman"/>
          <w:color w:val="000000"/>
        </w:rPr>
        <w:t xml:space="preserve">Link prenatal stress to persistent behavioural and neuroendocrine consequences in offspring.</w:t>
      </w:r>
    </w:p>
    <w:bookmarkEnd w:id="14"/>
    <w:bookmarkStart w:id="15" w:name="X3e0765d20d35432a4e5b38093cf4c084d940743"/>
    <w:p>
      <w:pPr>
        <w:pStyle w:val="Heading3"/>
        <w:widowControl/>
      </w:pPr>
      <w:r>
        <w:rPr>
          <w:rFonts w:ascii="Times New Roman" w:hAnsi="Times New Roman"/>
          <w:color w:val="000000"/>
        </w:rPr>
        <w:t xml:space="preserve">Paragraph 2 — Why rodent evidence is useful but difficult to interpret (130 words)</w:t>
      </w:r>
    </w:p>
    <w:p>
      <w:pPr>
        <w:pStyle w:val="Compact"/>
        <w:widowControl/>
        <w:numPr>
          <w:ilvl w:val="0"/>
          <w:numId w:val="1004"/>
        </w:numPr>
      </w:pPr>
      <w:r>
        <w:rPr>
          <w:rFonts w:ascii="Times New Roman" w:hAnsi="Times New Roman"/>
          <w:color w:val="000000"/>
        </w:rPr>
        <w:t xml:space="preserve">Rodent experiments can isolate exposure timing, intensity, and acoustic properties more clearly than observational human studies.</w:t>
      </w:r>
    </w:p>
    <w:p>
      <w:pPr>
        <w:pStyle w:val="Compact"/>
        <w:widowControl/>
        <w:numPr>
          <w:ilvl w:val="0"/>
          <w:numId w:val="1004"/>
        </w:numPr>
      </w:pPr>
      <w:r>
        <w:rPr>
          <w:rFonts w:ascii="Times New Roman" w:hAnsi="Times New Roman"/>
          <w:color w:val="000000"/>
        </w:rPr>
        <w:t xml:space="preserve">Anxiety- and depression-like assays measure different behavioural processes and may respond differently.</w:t>
      </w:r>
    </w:p>
    <w:p>
      <w:pPr>
        <w:pStyle w:val="Compact"/>
        <w:widowControl/>
        <w:numPr>
          <w:ilvl w:val="0"/>
          <w:numId w:val="1004"/>
        </w:numPr>
      </w:pPr>
      <w:r>
        <w:rPr>
          <w:rFonts w:ascii="Times New Roman" w:hAnsi="Times New Roman"/>
          <w:color w:val="000000"/>
        </w:rPr>
        <w:t xml:space="preserve">Existing studies vary in strain, sex, offspring age, gestational window, noise type, loudness, control conditions, and assay.</w:t>
      </w:r>
    </w:p>
    <w:bookmarkEnd w:id="15"/>
    <w:bookmarkStart w:id="16" w:name="Xcbe95641fb5cabe762877614eb32820e43fecb7"/>
    <w:p>
      <w:pPr>
        <w:pStyle w:val="Heading3"/>
        <w:widowControl/>
      </w:pPr>
      <w:r>
        <w:rPr>
          <w:rFonts w:ascii="Times New Roman" w:hAnsi="Times New Roman"/>
          <w:color w:val="000000"/>
        </w:rPr>
        <w:t xml:space="preserve">Paragraph 3 — Why means are not the complete result (110 words)</w:t>
      </w:r>
    </w:p>
    <w:p>
      <w:pPr>
        <w:pStyle w:val="Compact"/>
        <w:widowControl/>
        <w:numPr>
          <w:ilvl w:val="0"/>
          <w:numId w:val="1005"/>
        </w:numPr>
      </w:pPr>
      <w:r>
        <w:rPr>
          <w:rFonts w:ascii="Times New Roman" w:hAnsi="Times New Roman"/>
          <w:color w:val="000000"/>
        </w:rPr>
        <w:t xml:space="preserve">Mean effects answer whether exposed offspring respond differently on average.</w:t>
      </w:r>
    </w:p>
    <w:p>
      <w:pPr>
        <w:pStyle w:val="Compact"/>
        <w:widowControl/>
        <w:numPr>
          <w:ilvl w:val="0"/>
          <w:numId w:val="1005"/>
        </w:numPr>
      </w:pPr>
      <w:r>
        <w:rPr>
          <w:rFonts w:ascii="Times New Roman" w:hAnsi="Times New Roman"/>
          <w:color w:val="000000"/>
        </w:rPr>
        <w:t xml:space="preserve">Variability effects answer whether prenatal noise makes responses more or less heterogeneous among offspring.</w:t>
      </w:r>
    </w:p>
    <w:p>
      <w:pPr>
        <w:pStyle w:val="Compact"/>
        <w:widowControl/>
        <w:numPr>
          <w:ilvl w:val="0"/>
          <w:numId w:val="1005"/>
        </w:numPr>
      </w:pPr>
      <w:r>
        <w:rPr>
          <w:rFonts w:ascii="Times New Roman" w:hAnsi="Times New Roman"/>
          <w:color w:val="000000"/>
        </w:rPr>
        <w:t xml:space="preserve">Introduce lnRR for mean differences and lnVR for absolute variability. Mention lnCVR only as a supplementary analysis.</w:t>
      </w:r>
    </w:p>
    <w:bookmarkEnd w:id="16"/>
    <w:bookmarkStart w:id="17" w:name="X68e6649e6e00dab13027e98ec05c7d6b3494500"/>
    <w:p>
      <w:pPr>
        <w:pStyle w:val="Heading3"/>
        <w:widowControl/>
      </w:pPr>
      <w:r>
        <w:rPr>
          <w:rFonts w:ascii="Times New Roman" w:hAnsi="Times New Roman"/>
          <w:color w:val="000000"/>
        </w:rPr>
        <w:t xml:space="preserve">Paragraph 4 — Evidence gap and need for multilevel synthesis (110 words)</w:t>
      </w:r>
    </w:p>
    <w:p>
      <w:pPr>
        <w:pStyle w:val="Compact"/>
        <w:widowControl/>
        <w:numPr>
          <w:ilvl w:val="0"/>
          <w:numId w:val="1006"/>
        </w:numPr>
      </w:pPr>
      <w:r>
        <w:rPr>
          <w:rFonts w:ascii="Times New Roman" w:hAnsi="Times New Roman"/>
          <w:color w:val="000000"/>
        </w:rPr>
        <w:t xml:space="preserve">Individual studies contribute multiple, dependent outcomes.</w:t>
      </w:r>
    </w:p>
    <w:p>
      <w:pPr>
        <w:pStyle w:val="Compact"/>
        <w:widowControl/>
        <w:numPr>
          <w:ilvl w:val="0"/>
          <w:numId w:val="1006"/>
        </w:numPr>
      </w:pPr>
      <w:r>
        <w:rPr>
          <w:rFonts w:ascii="Times New Roman" w:hAnsi="Times New Roman"/>
          <w:color w:val="000000"/>
        </w:rPr>
        <w:t xml:space="preserve">A multilevel meta-analysis can retain this information while representing shared groups and clustering.</w:t>
      </w:r>
    </w:p>
    <w:p>
      <w:pPr>
        <w:pStyle w:val="Compact"/>
        <w:widowControl/>
        <w:numPr>
          <w:ilvl w:val="0"/>
          <w:numId w:val="1006"/>
        </w:numPr>
      </w:pPr>
      <w:r>
        <w:rPr>
          <w:rFonts w:ascii="Times New Roman" w:hAnsi="Times New Roman"/>
          <w:color w:val="000000"/>
        </w:rPr>
        <w:t xml:space="preserve">Critical appraisal is needed because incomplete reporting and risk of bias can restrict interpretation.</w:t>
      </w:r>
    </w:p>
    <w:bookmarkEnd w:id="17"/>
    <w:bookmarkStart w:id="18" w:name="Xd566e3798ccc1e19eca05428dfe60ff8656d01e"/>
    <w:p>
      <w:pPr>
        <w:pStyle w:val="Heading3"/>
        <w:widowControl/>
      </w:pPr>
      <w:r>
        <w:rPr>
          <w:rFonts w:ascii="Times New Roman" w:hAnsi="Times New Roman"/>
          <w:color w:val="000000"/>
        </w:rPr>
        <w:t xml:space="preserve">Paragraph 5 — Aim and research questions (130 words)</w:t>
      </w:r>
    </w:p>
    <w:p>
      <w:pPr>
        <w:pStyle w:val="FirstParagraph"/>
        <w:widowControl/>
      </w:pPr>
      <w:r>
        <w:rPr>
          <w:rFonts w:ascii="Times New Roman" w:hAnsi="Times New Roman"/>
          <w:color w:val="000000"/>
        </w:rPr>
        <w:t xml:space="preserve">End with explicit numbered aims:</w:t>
      </w:r>
    </w:p>
    <w:p>
      <w:pPr>
        <w:pStyle w:val="Compact"/>
        <w:widowControl/>
        <w:numPr>
          <w:ilvl w:val="0"/>
          <w:numId w:val="1007"/>
        </w:numPr>
      </w:pPr>
      <w:r>
        <w:rPr>
          <w:rFonts w:ascii="Times New Roman" w:hAnsi="Times New Roman"/>
          <w:color w:val="000000"/>
        </w:rPr>
        <w:t xml:space="preserve">Estimate the overall effect of maternal chronic-noise exposure during gestation on mean anxiety- and depression-like behaviour in offspring.</w:t>
      </w:r>
    </w:p>
    <w:p>
      <w:pPr>
        <w:pStyle w:val="Compact"/>
        <w:widowControl/>
        <w:numPr>
          <w:ilvl w:val="0"/>
          <w:numId w:val="1007"/>
        </w:numPr>
      </w:pPr>
      <w:r>
        <w:rPr>
          <w:rFonts w:ascii="Times New Roman" w:hAnsi="Times New Roman"/>
          <w:color w:val="000000"/>
        </w:rPr>
        <w:t xml:space="preserve">Estimate whether prenatal noise changes behavioural variability among offspring.</w:t>
      </w:r>
    </w:p>
    <w:p>
      <w:pPr>
        <w:pStyle w:val="Compact"/>
        <w:widowControl/>
        <w:numPr>
          <w:ilvl w:val="0"/>
          <w:numId w:val="1007"/>
        </w:numPr>
      </w:pPr>
      <w:r>
        <w:rPr>
          <w:rFonts w:ascii="Times New Roman" w:hAnsi="Times New Roman"/>
          <w:color w:val="000000"/>
        </w:rPr>
        <w:t xml:space="preserve">Test whether offspring sex or age modifies these effects.</w:t>
      </w:r>
    </w:p>
    <w:p>
      <w:pPr>
        <w:pStyle w:val="Compact"/>
        <w:widowControl/>
        <w:numPr>
          <w:ilvl w:val="0"/>
          <w:numId w:val="1007"/>
        </w:numPr>
      </w:pPr>
      <w:r>
        <w:rPr>
          <w:rFonts w:ascii="Times New Roman" w:hAnsi="Times New Roman"/>
          <w:color w:val="000000"/>
        </w:rPr>
        <w:t xml:space="preserve">Test whether gestational timing, exposure duration, acoustic frequency range, loudness, outcome type, or behavioural assay modifies these effects.</w:t>
      </w:r>
    </w:p>
    <w:p>
      <w:pPr>
        <w:pStyle w:val="Compact"/>
        <w:widowControl/>
        <w:numPr>
          <w:ilvl w:val="0"/>
          <w:numId w:val="1007"/>
        </w:numPr>
      </w:pPr>
      <w:r>
        <w:rPr>
          <w:rFonts w:ascii="Times New Roman" w:hAnsi="Times New Roman"/>
          <w:color w:val="000000"/>
        </w:rPr>
        <w:t xml:space="preserve">Assess reporting quality, methodological quality, risk of bias, small-study patterns, time-lag patterns, and influence of individual studies or the Abramova-laboratory cluster.</w:t>
      </w:r>
    </w:p>
    <w:p>
      <w:pPr>
        <w:pStyle w:val="FirstParagraph"/>
        <w:widowControl/>
      </w:pPr>
      <w:r>
        <w:rPr>
          <w:rFonts w:ascii="Times New Roman" w:hAnsi="Times New Roman"/>
          <w:color w:val="000000"/>
        </w:rPr>
        <w:t xml:space="preserve">Aim 2 (lnVR) was not specified in the registered protocol. We will record the addition of lnVR and lnCVR in the deviations-and-additions record and describe it explicitly in the Methods.</w:t>
      </w:r>
    </w:p>
    <w:bookmarkEnd w:id="18"/>
    <w:bookmarkEnd w:id="19"/>
    <w:bookmarkStart w:id="27" w:name="results-950-words"/>
    <w:p>
      <w:pPr>
        <w:pStyle w:val="Heading2"/>
        <w:widowControl/>
      </w:pPr>
      <w:r>
        <w:rPr>
          <w:rFonts w:ascii="Times New Roman" w:hAnsi="Times New Roman"/>
          <w:color w:val="000000"/>
        </w:rPr>
        <w:t xml:space="preserve">Results — 950 words</w:t>
      </w:r>
    </w:p>
    <w:bookmarkStart w:id="20" w:name="evidence-base-160-words"/>
    <w:p>
      <w:pPr>
        <w:pStyle w:val="Heading3"/>
        <w:widowControl/>
      </w:pPr>
      <w:r>
        <w:rPr>
          <w:rFonts w:ascii="Times New Roman" w:hAnsi="Times New Roman"/>
          <w:color w:val="000000"/>
        </w:rPr>
        <w:t xml:space="preserve">Evidence base — 160 words</w:t>
      </w:r>
    </w:p>
    <w:p>
      <w:pPr>
        <w:pStyle w:val="Compact"/>
        <w:widowControl/>
        <w:numPr>
          <w:ilvl w:val="0"/>
          <w:numId w:val="1008"/>
        </w:numPr>
      </w:pPr>
      <w:r>
        <w:rPr>
          <w:rFonts w:ascii="Times New Roman" w:hAnsi="Times New Roman"/>
          <w:color w:val="000000"/>
        </w:rPr>
        <w:t xml:space="preserve">PRISMA: 5,889 records identified; 3,576 duplicates removed; 2,313 unique records screened; 87 full texts sought/screened; 75 full-text reports excluded; 12 included from the formal search plus four benchmark-set studies; 16 studies in the meta-analysis.</w:t>
      </w:r>
    </w:p>
    <w:p>
      <w:pPr>
        <w:pStyle w:val="Compact"/>
        <w:widowControl/>
        <w:numPr>
          <w:ilvl w:val="0"/>
          <w:numId w:val="1008"/>
        </w:numPr>
      </w:pPr>
      <w:r>
        <w:rPr>
          <w:rFonts w:ascii="Times New Roman" w:hAnsi="Times New Roman"/>
          <w:color w:val="000000"/>
        </w:rPr>
        <w:t xml:space="preserve">Current analysis: 187 lnRR effect sizes from 16 studies and 175 lnVR effect sizes from 14 studies.</w:t>
      </w:r>
    </w:p>
    <w:p>
      <w:pPr>
        <w:pStyle w:val="Compact"/>
        <w:widowControl/>
        <w:numPr>
          <w:ilvl w:val="0"/>
          <w:numId w:val="1008"/>
        </w:numPr>
      </w:pPr>
      <w:r>
        <w:rPr>
          <w:rFonts w:ascii="Times New Roman" w:hAnsi="Times New Roman"/>
          <w:color w:val="000000"/>
        </w:rPr>
        <w:t xml:space="preserve">Effect-size distribution: 160/187 (86%) anxiety and 27/187 (14%) depression; 176/187 (94%) rat and 11/187 (6%) mouse; 92 male, 57 female, and 38 mixed-sex effect sizes.</w:t>
      </w:r>
    </w:p>
    <w:p>
      <w:pPr>
        <w:pStyle w:val="Compact"/>
        <w:widowControl/>
        <w:numPr>
          <w:ilvl w:val="0"/>
          <w:numId w:val="1008"/>
        </w:numPr>
      </w:pPr>
      <w:r>
        <w:rPr>
          <w:rFonts w:ascii="Times New Roman" w:hAnsi="Times New Roman"/>
          <w:color w:val="000000"/>
        </w:rPr>
        <w:t xml:space="preserve">Make clear that these percentages describe effect sizes, not independent studies.</w:t>
      </w:r>
    </w:p>
    <w:p>
      <w:pPr>
        <w:pStyle w:val="Compact"/>
        <w:widowControl/>
        <w:numPr>
          <w:ilvl w:val="0"/>
          <w:numId w:val="1008"/>
        </w:numPr>
      </w:pPr>
      <w:r>
        <w:rPr>
          <w:rFonts w:ascii="Times New Roman" w:hAnsi="Times New Roman"/>
          <w:color w:val="000000"/>
        </w:rPr>
        <w:t xml:space="preserve">Refer to Figure 1 for study-level coverage and Figure S1 for record selection.</w:t>
      </w:r>
    </w:p>
    <w:bookmarkEnd w:id="20"/>
    <w:bookmarkStart w:id="21" w:name="overall-effects-130-words"/>
    <w:p>
      <w:pPr>
        <w:pStyle w:val="Heading3"/>
        <w:widowControl/>
      </w:pPr>
      <w:r>
        <w:rPr>
          <w:rFonts w:ascii="Times New Roman" w:hAnsi="Times New Roman"/>
          <w:color w:val="000000"/>
        </w:rPr>
        <w:t xml:space="preserve">Overall effects — 130 words</w:t>
      </w:r>
    </w:p>
    <w:p>
      <w:pPr>
        <w:pStyle w:val="Compact"/>
        <w:widowControl/>
        <w:numPr>
          <w:ilvl w:val="0"/>
          <w:numId w:val="1009"/>
        </w:numPr>
      </w:pPr>
      <w:r>
        <w:rPr>
          <w:rFonts w:ascii="Times New Roman" w:hAnsi="Times New Roman"/>
          <w:color w:val="000000"/>
        </w:rPr>
        <w:t xml:space="preserve">lnRR: 0.197, 95% CI [-0.055, 0.449],</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0.124,</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 187 from 16 studies. On the ratio scale, this is about 1.22, with the interval spanning about 0.95-1.57.</w:t>
      </w:r>
    </w:p>
    <w:p>
      <w:pPr>
        <w:pStyle w:val="Compact"/>
        <w:widowControl/>
        <w:numPr>
          <w:ilvl w:val="0"/>
          <w:numId w:val="1009"/>
        </w:numPr>
      </w:pPr>
      <w:r>
        <w:rPr>
          <w:rFonts w:ascii="Times New Roman" w:hAnsi="Times New Roman"/>
          <w:color w:val="000000"/>
        </w:rPr>
        <w:t xml:space="preserve">lnVR: -0.042, 95% CI [-0.206, 0.122],</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0.612,</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 175 from 14 studies.</w:t>
      </w:r>
    </w:p>
    <w:p>
      <w:pPr>
        <w:pStyle w:val="Compact"/>
        <w:widowControl/>
        <w:numPr>
          <w:ilvl w:val="0"/>
          <w:numId w:val="1009"/>
        </w:numPr>
      </w:pPr>
      <w:r>
        <w:rPr>
          <w:rFonts w:ascii="Times New Roman" w:hAnsi="Times New Roman"/>
          <w:color w:val="000000"/>
        </w:rPr>
        <w:t xml:space="preserve">Heterogeneity: lnRR total I² = 95.8%; lnVR total I² = 81.8%. Present component-specific I² in Appendix III, Table S6, or a compact main-text results table.</w:t>
      </w:r>
    </w:p>
    <w:p>
      <w:pPr>
        <w:pStyle w:val="Compact"/>
        <w:widowControl/>
        <w:numPr>
          <w:ilvl w:val="0"/>
          <w:numId w:val="1009"/>
        </w:numPr>
      </w:pPr>
      <w:r>
        <w:rPr>
          <w:rFonts w:ascii="Times New Roman" w:hAnsi="Times New Roman"/>
          <w:color w:val="000000"/>
        </w:rPr>
        <w:t xml:space="preserve">Interpretation: neither overall estimate provides clear evidence of a consistent population-wide change, while both show important heterogeneity.</w:t>
      </w:r>
    </w:p>
    <w:bookmarkEnd w:id="21"/>
    <w:bookmarkStart w:id="22" w:name="outcome-type-120-words"/>
    <w:p>
      <w:pPr>
        <w:pStyle w:val="Heading3"/>
        <w:widowControl/>
      </w:pPr>
      <w:r>
        <w:rPr>
          <w:rFonts w:ascii="Times New Roman" w:hAnsi="Times New Roman"/>
          <w:color w:val="000000"/>
        </w:rPr>
        <w:t xml:space="preserve">Outcome type — 120 words</w:t>
      </w:r>
    </w:p>
    <w:p>
      <w:pPr>
        <w:pStyle w:val="Compact"/>
        <w:widowControl/>
        <w:numPr>
          <w:ilvl w:val="0"/>
          <w:numId w:val="1010"/>
        </w:numPr>
      </w:pPr>
      <w:r>
        <w:rPr>
          <w:rFonts w:ascii="Times New Roman" w:hAnsi="Times New Roman"/>
          <w:color w:val="000000"/>
        </w:rPr>
        <w:t xml:space="preserve">lnRR differed between outcome types: depression-like outcomes were 0.258 lnRR units lower than anxiety-like outcomes, 95% CI [-0.457, -0.060],</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0.011.</w:t>
      </w:r>
    </w:p>
    <w:p>
      <w:pPr>
        <w:pStyle w:val="Compact"/>
        <w:widowControl/>
        <w:numPr>
          <w:ilvl w:val="0"/>
          <w:numId w:val="1010"/>
        </w:numPr>
      </w:pPr>
      <w:r>
        <w:rPr>
          <w:rFonts w:ascii="Times New Roman" w:hAnsi="Times New Roman"/>
          <w:color w:val="000000"/>
        </w:rPr>
        <w:t xml:space="preserve">The anxiety estimate was 0.238 (95% CI [-0.012, 0.489]); the implied depression estimate was approximately -0.020.</w:t>
      </w:r>
    </w:p>
    <w:p>
      <w:pPr>
        <w:pStyle w:val="Compact"/>
        <w:widowControl/>
        <w:numPr>
          <w:ilvl w:val="0"/>
          <w:numId w:val="1010"/>
        </w:numPr>
      </w:pPr>
      <w:r>
        <w:rPr>
          <w:rFonts w:ascii="Times New Roman" w:hAnsi="Times New Roman"/>
          <w:color w:val="000000"/>
        </w:rPr>
        <w:t xml:space="preserve">For lnVR, depression-like outcomes were 0.209 units lower than anxiety-like outcomes, but the interval included no difference, 95% CI [-0.456, 0.037],</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0.095.</w:t>
      </w:r>
    </w:p>
    <w:p>
      <w:pPr>
        <w:pStyle w:val="Compact"/>
        <w:widowControl/>
        <w:numPr>
          <w:ilvl w:val="0"/>
          <w:numId w:val="1010"/>
        </w:numPr>
      </w:pPr>
      <w:r>
        <w:rPr>
          <w:rFonts w:ascii="Times New Roman" w:hAnsi="Times New Roman"/>
          <w:color w:val="000000"/>
        </w:rPr>
        <w:t xml:space="preserve">State the imbalance: anxiety contributes 160 effects from 15 studies, while depression contributes 27 effects from five studies.</w:t>
      </w:r>
    </w:p>
    <w:bookmarkEnd w:id="22"/>
    <w:bookmarkStart w:id="23" w:name="uni-moderators-260-words"/>
    <w:p>
      <w:pPr>
        <w:pStyle w:val="Heading3"/>
        <w:widowControl/>
      </w:pPr>
      <w:r>
        <w:rPr>
          <w:rFonts w:ascii="Times New Roman" w:hAnsi="Times New Roman"/>
          <w:color w:val="000000"/>
        </w:rPr>
        <w:t xml:space="preserve">Uni-moderators — 260 words</w:t>
      </w:r>
    </w:p>
    <w:p>
      <w:pPr>
        <w:pStyle w:val="FirstParagraph"/>
        <w:widowControl/>
      </w:pPr>
      <w:r>
        <w:rPr>
          <w:rFonts w:ascii="Times New Roman" w:hAnsi="Times New Roman"/>
          <w:color w:val="000000"/>
        </w:rPr>
        <w:t xml:space="preserve">Lead with the complete-model rule: all planned moderators are reported in Appendix III, Tables S7-S9, regardless of estimate direction or p-value, and the main figures show a question-driven subset.</w:t>
      </w:r>
    </w:p>
    <w:p>
      <w:pPr>
        <w:pStyle w:val="Compact"/>
        <w:widowControl/>
        <w:numPr>
          <w:ilvl w:val="0"/>
          <w:numId w:val="1011"/>
        </w:numPr>
      </w:pPr>
      <w:r>
        <w:rPr>
          <w:rFonts w:ascii="Times New Roman" w:hAnsi="Times New Roman"/>
          <w:b/>
          <w:bCs/>
          <w:color w:val="000000"/>
        </w:rPr>
        <w:t xml:space="preserve">Biological moderators:</w:t>
      </w:r>
      <w:r>
        <w:rPr>
          <w:rFonts w:ascii="Times New Roman" w:hAnsi="Times New Roman"/>
          <w:color w:val="000000"/>
        </w:rPr>
        <w:t xml:space="preserve"> </w:t>
      </w:r>
      <w:r>
        <w:rPr>
          <w:rFonts w:ascii="Times New Roman" w:hAnsi="Times New Roman"/>
          <w:color w:val="000000"/>
        </w:rPr>
        <w:t xml:space="preserve">offspring sex and age did not clearly explain lnRR or lnVR heterogeneity in the current uni-moderator models. Stress that mixed-sex data came from only two studies and that species/strain was not tested as a moderator because strain entered as a random effect.</w:t>
      </w:r>
    </w:p>
    <w:p>
      <w:pPr>
        <w:pStyle w:val="Compact"/>
        <w:widowControl/>
        <w:numPr>
          <w:ilvl w:val="0"/>
          <w:numId w:val="1011"/>
        </w:numPr>
      </w:pPr>
      <w:r>
        <w:rPr>
          <w:rFonts w:ascii="Times New Roman" w:hAnsi="Times New Roman"/>
          <w:b/>
          <w:bCs/>
          <w:color w:val="000000"/>
        </w:rPr>
        <w:t xml:space="preserve">Mean effects:</w:t>
      </w:r>
      <w:r>
        <w:rPr>
          <w:rFonts w:ascii="Times New Roman" w:hAnsi="Times New Roman"/>
          <w:color w:val="000000"/>
        </w:rPr>
        <w:t xml:space="preserve"> </w:t>
      </w:r>
      <w:r>
        <w:rPr>
          <w:rFonts w:ascii="Times New Roman" w:hAnsi="Times New Roman"/>
          <w:color w:val="000000"/>
        </w:rPr>
        <w:t xml:space="preserve">behavioural assay had the largest marginal R² among the plotted protocol moderators for lnRR (6.1%; omnibus</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0.063). Outcome type explained 3.8% and is shown separately in Figure 3. The control-condition model explained 5.6%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0.030), but this was an added moderator and its silence level contained only nine effects from two studies; keep it supplementary and interpret it as study-context variation, not a causal control effect.</w:t>
      </w:r>
    </w:p>
    <w:p>
      <w:pPr>
        <w:pStyle w:val="Compact"/>
        <w:widowControl/>
        <w:numPr>
          <w:ilvl w:val="0"/>
          <w:numId w:val="1011"/>
        </w:numPr>
      </w:pPr>
      <w:r>
        <w:rPr>
          <w:rFonts w:ascii="Times New Roman" w:hAnsi="Times New Roman"/>
          <w:b/>
          <w:bCs/>
          <w:color w:val="000000"/>
        </w:rPr>
        <w:t xml:space="preserve">Variability:</w:t>
      </w:r>
      <w:r>
        <w:rPr>
          <w:rFonts w:ascii="Times New Roman" w:hAnsi="Times New Roman"/>
          <w:color w:val="000000"/>
        </w:rPr>
        <w:t xml:space="preserve"> </w:t>
      </w:r>
      <w:r>
        <w:rPr>
          <w:rFonts w:ascii="Times New Roman" w:hAnsi="Times New Roman"/>
          <w:color w:val="000000"/>
        </w:rPr>
        <w:t xml:space="preserve">loudness had the largest current marginal R² for lnVR (9.6%; slope = -0.0074 lnVR per dB, 95% CI [-0.0130, -0.0018]). Frequency range explained 6.3% (ultrasound-audible contrast = 0.262, 95% CI [-0.047, 0.571]); exposure type explained 6.1% (intermittent-continuous contrast = -0.253, 95% CI [-0.555, 0.049]); gestational timing explained 4.6%. Treat these as associations because moderator categories are partly confounded with study and laboratory.</w:t>
      </w:r>
    </w:p>
    <w:p>
      <w:pPr>
        <w:pStyle w:val="Compact"/>
        <w:widowControl/>
        <w:numPr>
          <w:ilvl w:val="0"/>
          <w:numId w:val="1011"/>
        </w:numPr>
      </w:pPr>
      <w:r>
        <w:rPr>
          <w:rFonts w:ascii="Times New Roman" w:hAnsi="Times New Roman"/>
          <w:color w:val="000000"/>
        </w:rPr>
        <w:t xml:space="preserve">Do not call a moderator “important” only because</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&lt; 0.05. Compare effect size, interval, evidence coverage, and marginal R².</w:t>
      </w:r>
    </w:p>
    <w:bookmarkEnd w:id="23"/>
    <w:bookmarkStart w:id="24" w:name="X07be5702a171a64e0455704ea65f92f4c609a3b"/>
    <w:p>
      <w:pPr>
        <w:pStyle w:val="Heading3"/>
        <w:widowControl/>
      </w:pPr>
      <w:r>
        <w:rPr>
          <w:rFonts w:ascii="Times New Roman" w:hAnsi="Times New Roman"/>
          <w:color w:val="000000"/>
        </w:rPr>
        <w:t xml:space="preserve">Small-study and time-lag patterns — 90 words</w:t>
      </w:r>
    </w:p>
    <w:p>
      <w:pPr>
        <w:pStyle w:val="Compact"/>
        <w:widowControl/>
        <w:numPr>
          <w:ilvl w:val="0"/>
          <w:numId w:val="1012"/>
        </w:numPr>
      </w:pPr>
      <w:r>
        <w:rPr>
          <w:rFonts w:ascii="Times New Roman" w:hAnsi="Times New Roman"/>
          <w:color w:val="000000"/>
        </w:rPr>
        <w:t xml:space="preserve">N-based Egger-type coefficient = -0.040, 95% CI [-1.129, 1.049],</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0.942.</w:t>
      </w:r>
    </w:p>
    <w:p>
      <w:pPr>
        <w:pStyle w:val="Compact"/>
        <w:widowControl/>
        <w:numPr>
          <w:ilvl w:val="0"/>
          <w:numId w:val="1012"/>
        </w:numPr>
      </w:pPr>
      <w:r>
        <w:rPr>
          <w:rFonts w:ascii="Times New Roman" w:hAnsi="Times New Roman"/>
          <w:color w:val="000000"/>
        </w:rPr>
        <w:t xml:space="preserve">Publication-year coefficient adjusted for the precision term = 0.0072 lnRR units/year, 95% CI [-0.0023, 0.0167],</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0.136.</w:t>
      </w:r>
    </w:p>
    <w:p>
      <w:pPr>
        <w:pStyle w:val="Compact"/>
        <w:widowControl/>
        <w:numPr>
          <w:ilvl w:val="0"/>
          <w:numId w:val="1012"/>
        </w:numPr>
      </w:pPr>
      <w:r>
        <w:rPr>
          <w:rFonts w:ascii="Times New Roman" w:hAnsi="Times New Roman"/>
          <w:color w:val="000000"/>
        </w:rPr>
        <w:t xml:space="preserve">Describe both diagnostics as exploratory because the effect sizes are heterogeneous and dependent.</w:t>
      </w:r>
    </w:p>
    <w:p>
      <w:pPr>
        <w:pStyle w:val="Compact"/>
        <w:widowControl/>
        <w:numPr>
          <w:ilvl w:val="0"/>
          <w:numId w:val="1012"/>
        </w:numPr>
      </w:pPr>
      <w:r>
        <w:rPr>
          <w:rFonts w:ascii="Times New Roman" w:hAnsi="Times New Roman"/>
          <w:color w:val="000000"/>
        </w:rPr>
        <w:t xml:space="preserve">Avoid the categorical phrase “no publication bias”; write “we found no clear small-study or time-lag pattern with these diagnostics.”</w:t>
      </w:r>
    </w:p>
    <w:bookmarkEnd w:id="24"/>
    <w:bookmarkStart w:id="25" w:name="crime-q-appraisal-100-words"/>
    <w:p>
      <w:pPr>
        <w:pStyle w:val="Heading3"/>
        <w:widowControl/>
      </w:pPr>
      <w:r>
        <w:rPr>
          <w:rFonts w:ascii="Times New Roman" w:hAnsi="Times New Roman"/>
          <w:color w:val="000000"/>
        </w:rPr>
        <w:t xml:space="preserve">CRIME-Q appraisal — 100 words</w:t>
      </w:r>
    </w:p>
    <w:p>
      <w:pPr>
        <w:pStyle w:val="Compact"/>
        <w:widowControl/>
        <w:numPr>
          <w:ilvl w:val="0"/>
          <w:numId w:val="1013"/>
        </w:numPr>
      </w:pPr>
      <w:r>
        <w:rPr>
          <w:rFonts w:ascii="Times New Roman" w:hAnsi="Times New Roman"/>
          <w:color w:val="000000"/>
        </w:rPr>
        <w:t xml:space="preserve">The finalized workbook contains 16 studies and 21 items spanning quality of reporting, methodological quality, and risk of bias.</w:t>
      </w:r>
    </w:p>
    <w:p>
      <w:pPr>
        <w:pStyle w:val="Compact"/>
        <w:widowControl/>
        <w:numPr>
          <w:ilvl w:val="0"/>
          <w:numId w:val="1013"/>
        </w:numPr>
      </w:pPr>
      <w:r>
        <w:rPr>
          <w:rFonts w:ascii="Times New Roman" w:hAnsi="Times New Roman"/>
          <w:color w:val="000000"/>
        </w:rPr>
        <w:t xml:space="preserve">All 16 studies partly reported exposure details; none fully met the exposure-reporting items.</w:t>
      </w:r>
    </w:p>
    <w:p>
      <w:pPr>
        <w:pStyle w:val="Compact"/>
        <w:widowControl/>
        <w:numPr>
          <w:ilvl w:val="0"/>
          <w:numId w:val="1013"/>
        </w:numPr>
      </w:pPr>
      <w:r>
        <w:rPr>
          <w:rFonts w:ascii="Times New Roman" w:hAnsi="Times New Roman"/>
          <w:color w:val="000000"/>
        </w:rPr>
        <w:t xml:space="preserve">Fifteen of 16 did not report an a priori sample-size calculation; allocation, cage-position protection, outcome-selection safeguards, and selective-reporting judgments were unclear for all 16.</w:t>
      </w:r>
    </w:p>
    <w:p>
      <w:pPr>
        <w:pStyle w:val="Compact"/>
        <w:widowControl/>
        <w:numPr>
          <w:ilvl w:val="0"/>
          <w:numId w:val="1013"/>
        </w:numPr>
      </w:pPr>
      <w:r>
        <w:rPr>
          <w:rFonts w:ascii="Times New Roman" w:hAnsi="Times New Roman"/>
          <w:color w:val="000000"/>
        </w:rPr>
        <w:t xml:space="preserve">Blinding was unclear in 15 of 16 studies, and attrition handling was unclear in 12.</w:t>
      </w:r>
    </w:p>
    <w:p>
      <w:pPr>
        <w:pStyle w:val="Compact"/>
        <w:widowControl/>
        <w:numPr>
          <w:ilvl w:val="0"/>
          <w:numId w:val="1013"/>
        </w:numPr>
      </w:pPr>
      <w:r>
        <w:rPr>
          <w:rFonts w:ascii="Times New Roman" w:hAnsi="Times New Roman"/>
          <w:color w:val="000000"/>
        </w:rPr>
        <w:t xml:space="preserve">Report item-level patterns, not a summed quality score.</w:t>
      </w:r>
    </w:p>
    <w:bookmarkEnd w:id="25"/>
    <w:bookmarkStart w:id="26" w:name="sensitivity-analyses-90-words"/>
    <w:p>
      <w:pPr>
        <w:pStyle w:val="Heading3"/>
        <w:widowControl/>
      </w:pPr>
      <w:r>
        <w:rPr>
          <w:rFonts w:ascii="Times New Roman" w:hAnsi="Times New Roman"/>
          <w:color w:val="000000"/>
        </w:rPr>
        <w:t xml:space="preserve">Sensitivity analyses — 90 words</w:t>
      </w:r>
    </w:p>
    <w:p>
      <w:pPr>
        <w:pStyle w:val="Compact"/>
        <w:widowControl/>
        <w:numPr>
          <w:ilvl w:val="0"/>
          <w:numId w:val="1014"/>
        </w:numPr>
      </w:pPr>
      <w:r>
        <w:rPr>
          <w:rFonts w:ascii="Times New Roman" w:hAnsi="Times New Roman"/>
          <w:color w:val="000000"/>
        </w:rPr>
        <w:t xml:space="preserve">The four Abramova-laboratory studies contributed 98/187 effect sizes (52%).</w:t>
      </w:r>
    </w:p>
    <w:p>
      <w:pPr>
        <w:pStyle w:val="Compact"/>
        <w:widowControl/>
        <w:numPr>
          <w:ilvl w:val="0"/>
          <w:numId w:val="1014"/>
        </w:numPr>
      </w:pPr>
      <w:r>
        <w:rPr>
          <w:rFonts w:ascii="Times New Roman" w:hAnsi="Times New Roman"/>
          <w:color w:val="000000"/>
        </w:rPr>
        <w:t xml:space="preserve">Full data: lnRR = 0.197, 95% CI [-0.055, 0.449]. Excluding all four: lnRR = 0.232, 95% CI [-0.008, 0.471],</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 89 from 12 studies.</w:t>
      </w:r>
    </w:p>
    <w:p>
      <w:pPr>
        <w:pStyle w:val="Compact"/>
        <w:widowControl/>
        <w:numPr>
          <w:ilvl w:val="0"/>
          <w:numId w:val="1014"/>
        </w:numPr>
      </w:pPr>
      <w:r>
        <w:rPr>
          <w:rFonts w:ascii="Times New Roman" w:hAnsi="Times New Roman"/>
          <w:color w:val="000000"/>
        </w:rPr>
        <w:t xml:space="preserve">Study-level leave-one-out estimates ranged from 0.119 to 0.263 and all current intervals included no effect.</w:t>
      </w:r>
    </w:p>
    <w:p>
      <w:pPr>
        <w:pStyle w:val="Compact"/>
        <w:widowControl/>
        <w:numPr>
          <w:ilvl w:val="0"/>
          <w:numId w:val="1014"/>
        </w:numPr>
      </w:pPr>
      <w:r>
        <w:rPr>
          <w:rFonts w:ascii="Times New Roman" w:hAnsi="Times New Roman"/>
          <w:color w:val="000000"/>
        </w:rPr>
        <w:t xml:space="preserve">Excluding the two exact-zero-corrected effect sizes produced lnRR = 0.195, 95% CI [-0.055, 0.445], showing negligible change.</w:t>
      </w:r>
    </w:p>
    <w:bookmarkEnd w:id="26"/>
    <w:bookmarkEnd w:id="27"/>
    <w:bookmarkStart w:id="37" w:name="X896a096472e57a696e72eb297167d6b7ba368a7"/>
    <w:p>
      <w:pPr>
        <w:pStyle w:val="Heading2"/>
        <w:widowControl/>
      </w:pPr>
      <w:r>
        <w:rPr>
          <w:rFonts w:ascii="Times New Roman" w:hAnsi="Times New Roman"/>
          <w:color w:val="000000"/>
        </w:rPr>
        <w:t xml:space="preserve">Discussion — 750 words, keep as bullets for now</w:t>
      </w:r>
    </w:p>
    <w:bookmarkStart w:id="28" w:name="opening-synthesis"/>
    <w:p>
      <w:pPr>
        <w:pStyle w:val="Heading3"/>
        <w:widowControl/>
      </w:pPr>
      <w:r>
        <w:rPr>
          <w:rFonts w:ascii="Times New Roman" w:hAnsi="Times New Roman"/>
          <w:color w:val="000000"/>
        </w:rPr>
        <w:t xml:space="preserve">Opening synthesis</w:t>
      </w:r>
    </w:p>
    <w:p>
      <w:pPr>
        <w:pStyle w:val="Compact"/>
        <w:widowControl/>
        <w:numPr>
          <w:ilvl w:val="0"/>
          <w:numId w:val="1015"/>
        </w:numPr>
      </w:pPr>
      <w:r>
        <w:rPr>
          <w:rFonts w:ascii="Times New Roman" w:hAnsi="Times New Roman"/>
          <w:color w:val="000000"/>
        </w:rPr>
        <w:t xml:space="preserve">The pooled mean effect points toward more anxiety- and depression-like behaviour after prenatal noise, but its interval includes no average difference.</w:t>
      </w:r>
    </w:p>
    <w:p>
      <w:pPr>
        <w:pStyle w:val="Compact"/>
        <w:widowControl/>
        <w:numPr>
          <w:ilvl w:val="0"/>
          <w:numId w:val="1015"/>
        </w:numPr>
      </w:pPr>
      <w:r>
        <w:rPr>
          <w:rFonts w:ascii="Times New Roman" w:hAnsi="Times New Roman"/>
          <w:color w:val="000000"/>
        </w:rPr>
        <w:t xml:space="preserve">The pooled variability effect is close to zero, but high heterogeneity means that a single overall average does not describe every exposure and outcome context.</w:t>
      </w:r>
    </w:p>
    <w:p>
      <w:pPr>
        <w:pStyle w:val="Compact"/>
        <w:widowControl/>
        <w:numPr>
          <w:ilvl w:val="0"/>
          <w:numId w:val="1015"/>
        </w:numPr>
      </w:pPr>
      <w:r>
        <w:rPr>
          <w:rFonts w:ascii="Times New Roman" w:hAnsi="Times New Roman"/>
          <w:color w:val="000000"/>
        </w:rPr>
        <w:t xml:space="preserve">Outcome type separates the mean response more clearly than sex or age in the current data.</w:t>
      </w:r>
    </w:p>
    <w:bookmarkEnd w:id="28"/>
    <w:bookmarkStart w:id="29" w:name="Xe35fc99964345f41ca04fe95c39e90b4487e87f"/>
    <w:p>
      <w:pPr>
        <w:pStyle w:val="Heading3"/>
        <w:widowControl/>
      </w:pPr>
      <w:r>
        <w:rPr>
          <w:rFonts w:ascii="Times New Roman" w:hAnsi="Times New Roman"/>
          <w:color w:val="000000"/>
        </w:rPr>
        <w:t xml:space="preserve">Interpretation of mean and variability together</w:t>
      </w:r>
    </w:p>
    <w:p>
      <w:pPr>
        <w:pStyle w:val="Compact"/>
        <w:widowControl/>
        <w:numPr>
          <w:ilvl w:val="0"/>
          <w:numId w:val="1016"/>
        </w:numPr>
      </w:pPr>
      <w:r>
        <w:rPr>
          <w:rFonts w:ascii="Times New Roman" w:hAnsi="Times New Roman"/>
          <w:color w:val="000000"/>
        </w:rPr>
        <w:t xml:space="preserve">A shift in the mean without a matching change in variability would imply a relatively uniform displacement of behaviour; a variability change would imply altered heterogeneity among offspring.</w:t>
      </w:r>
    </w:p>
    <w:p>
      <w:pPr>
        <w:pStyle w:val="Compact"/>
        <w:widowControl/>
        <w:numPr>
          <w:ilvl w:val="0"/>
          <w:numId w:val="1016"/>
        </w:numPr>
      </w:pPr>
      <w:r>
        <w:rPr>
          <w:rFonts w:ascii="Times New Roman" w:hAnsi="Times New Roman"/>
          <w:color w:val="000000"/>
        </w:rPr>
        <w:t xml:space="preserve">The current overall models do not support either simple pattern conclusively.</w:t>
      </w:r>
    </w:p>
    <w:p>
      <w:pPr>
        <w:pStyle w:val="Compact"/>
        <w:widowControl/>
        <w:numPr>
          <w:ilvl w:val="0"/>
          <w:numId w:val="1016"/>
        </w:numPr>
      </w:pPr>
      <w:r>
        <w:rPr>
          <w:rFonts w:ascii="Times New Roman" w:hAnsi="Times New Roman"/>
          <w:color w:val="000000"/>
        </w:rPr>
        <w:t xml:space="preserve">Lower lnVR at higher loudness is interesting but counterintuitive and observational across studies. Possible explanations include restricted behavioural ranges, exposure categories correlated with laboratory protocols, or genuine homogenization under intense stress. Do not present a causal mechanism without further evidence.</w:t>
      </w:r>
    </w:p>
    <w:bookmarkEnd w:id="29"/>
    <w:bookmarkStart w:id="30" w:name="biological-moderators"/>
    <w:p>
      <w:pPr>
        <w:pStyle w:val="Heading3"/>
        <w:widowControl/>
      </w:pPr>
      <w:r>
        <w:rPr>
          <w:rFonts w:ascii="Times New Roman" w:hAnsi="Times New Roman"/>
          <w:color w:val="000000"/>
        </w:rPr>
        <w:t xml:space="preserve">Biological moderators</w:t>
      </w:r>
    </w:p>
    <w:p>
      <w:pPr>
        <w:pStyle w:val="Compact"/>
        <w:widowControl/>
        <w:numPr>
          <w:ilvl w:val="0"/>
          <w:numId w:val="1017"/>
        </w:numPr>
      </w:pPr>
      <w:r>
        <w:rPr>
          <w:rFonts w:ascii="Times New Roman" w:hAnsi="Times New Roman"/>
          <w:color w:val="000000"/>
        </w:rPr>
        <w:t xml:space="preserve">Limited evidence for sex or age moderation is not evidence that prenatal-noise effects are sex- or age-independent.</w:t>
      </w:r>
    </w:p>
    <w:p>
      <w:pPr>
        <w:pStyle w:val="Compact"/>
        <w:widowControl/>
        <w:numPr>
          <w:ilvl w:val="0"/>
          <w:numId w:val="1017"/>
        </w:numPr>
      </w:pPr>
      <w:r>
        <w:rPr>
          <w:rFonts w:ascii="Times New Roman" w:hAnsi="Times New Roman"/>
          <w:color w:val="000000"/>
        </w:rPr>
        <w:t xml:space="preserve">Female, mixed-sex, mouse, and depression-like evidence is sparse relative to male rat anxiety outcomes.</w:t>
      </w:r>
    </w:p>
    <w:p>
      <w:pPr>
        <w:pStyle w:val="Compact"/>
        <w:widowControl/>
        <w:numPr>
          <w:ilvl w:val="0"/>
          <w:numId w:val="1017"/>
        </w:numPr>
      </w:pPr>
      <w:r>
        <w:rPr>
          <w:rFonts w:ascii="Times New Roman" w:hAnsi="Times New Roman"/>
          <w:color w:val="000000"/>
        </w:rPr>
        <w:t xml:space="preserve">Species and strain cannot be separated cleanly with the current evidence base; strain is modelled as a grouping factor.</w:t>
      </w:r>
    </w:p>
    <w:bookmarkEnd w:id="30"/>
    <w:bookmarkStart w:id="31" w:name="measurement-and-design-dependence"/>
    <w:p>
      <w:pPr>
        <w:pStyle w:val="Heading3"/>
        <w:widowControl/>
      </w:pPr>
      <w:r>
        <w:rPr>
          <w:rFonts w:ascii="Times New Roman" w:hAnsi="Times New Roman"/>
          <w:color w:val="000000"/>
        </w:rPr>
        <w:t xml:space="preserve">Measurement and design dependence</w:t>
      </w:r>
    </w:p>
    <w:p>
      <w:pPr>
        <w:pStyle w:val="Compact"/>
        <w:widowControl/>
        <w:numPr>
          <w:ilvl w:val="0"/>
          <w:numId w:val="1018"/>
        </w:numPr>
      </w:pPr>
      <w:r>
        <w:rPr>
          <w:rFonts w:ascii="Times New Roman" w:hAnsi="Times New Roman"/>
          <w:color w:val="000000"/>
        </w:rPr>
        <w:t xml:space="preserve">Assay and outcome-type differences may reflect distinct behavioural constructs, scale properties, direction coding, or exposure sensitivity.</w:t>
      </w:r>
    </w:p>
    <w:p>
      <w:pPr>
        <w:pStyle w:val="Compact"/>
        <w:widowControl/>
        <w:numPr>
          <w:ilvl w:val="0"/>
          <w:numId w:val="1018"/>
        </w:numPr>
      </w:pPr>
      <w:r>
        <w:rPr>
          <w:rFonts w:ascii="Times New Roman" w:hAnsi="Times New Roman"/>
          <w:color w:val="000000"/>
        </w:rPr>
        <w:t xml:space="preserve">Control-condition differences may reflect background acoustic environments, but silence is represented by only two studies. Treat this result as hypothesis-generating.</w:t>
      </w:r>
    </w:p>
    <w:p>
      <w:pPr>
        <w:pStyle w:val="Compact"/>
        <w:widowControl/>
        <w:numPr>
          <w:ilvl w:val="0"/>
          <w:numId w:val="1018"/>
        </w:numPr>
      </w:pPr>
      <w:r>
        <w:rPr>
          <w:rFonts w:ascii="Times New Roman" w:hAnsi="Times New Roman"/>
          <w:color w:val="000000"/>
        </w:rPr>
        <w:t xml:space="preserve">Percentage outcomes enter lnRR after transformation but are excluded from lnVR/lnCVR, so the mean and variability datasets are not identical.</w:t>
      </w:r>
    </w:p>
    <w:bookmarkEnd w:id="31"/>
    <w:bookmarkStart w:id="32" w:name="reliability-and-reporting"/>
    <w:p>
      <w:pPr>
        <w:pStyle w:val="Heading3"/>
        <w:widowControl/>
      </w:pPr>
      <w:r>
        <w:rPr>
          <w:rFonts w:ascii="Times New Roman" w:hAnsi="Times New Roman"/>
          <w:color w:val="000000"/>
        </w:rPr>
        <w:t xml:space="preserve">Reliability and reporting</w:t>
      </w:r>
    </w:p>
    <w:p>
      <w:pPr>
        <w:pStyle w:val="Compact"/>
        <w:widowControl/>
        <w:numPr>
          <w:ilvl w:val="0"/>
          <w:numId w:val="1019"/>
        </w:numPr>
      </w:pPr>
      <w:r>
        <w:rPr>
          <w:rFonts w:ascii="Times New Roman" w:hAnsi="Times New Roman"/>
          <w:color w:val="000000"/>
        </w:rPr>
        <w:t xml:space="preserve">High I² and uneven CRIME-Q ratings limit generalization.</w:t>
      </w:r>
    </w:p>
    <w:p>
      <w:pPr>
        <w:pStyle w:val="Compact"/>
        <w:widowControl/>
        <w:numPr>
          <w:ilvl w:val="0"/>
          <w:numId w:val="1019"/>
        </w:numPr>
      </w:pPr>
      <w:r>
        <w:rPr>
          <w:rFonts w:ascii="Times New Roman" w:hAnsi="Times New Roman"/>
          <w:color w:val="000000"/>
        </w:rPr>
        <w:t xml:space="preserve">Incomplete reporting of randomization, blinding, attrition, acoustic delivery, and control environments prevents firm risk-of-bias judgments.</w:t>
      </w:r>
    </w:p>
    <w:p>
      <w:pPr>
        <w:pStyle w:val="Compact"/>
        <w:widowControl/>
        <w:numPr>
          <w:ilvl w:val="0"/>
          <w:numId w:val="1019"/>
        </w:numPr>
      </w:pPr>
      <w:r>
        <w:rPr>
          <w:rFonts w:ascii="Times New Roman" w:hAnsi="Times New Roman"/>
          <w:color w:val="000000"/>
        </w:rPr>
        <w:t xml:space="preserve">The Abramova sensitivity result suggests that the pooled estimate is not created solely by that laboratory, although the laboratory’s 52% contribution still limits independence and external validity.</w:t>
      </w:r>
    </w:p>
    <w:bookmarkEnd w:id="32"/>
    <w:bookmarkStart w:id="33" w:name="strengths"/>
    <w:p>
      <w:pPr>
        <w:pStyle w:val="Heading3"/>
        <w:widowControl/>
      </w:pPr>
      <w:r>
        <w:rPr>
          <w:rFonts w:ascii="Times New Roman" w:hAnsi="Times New Roman"/>
          <w:color w:val="000000"/>
        </w:rPr>
        <w:t xml:space="preserve">Strengths</w:t>
      </w:r>
    </w:p>
    <w:p>
      <w:pPr>
        <w:pStyle w:val="Compact"/>
        <w:widowControl/>
        <w:numPr>
          <w:ilvl w:val="0"/>
          <w:numId w:val="1020"/>
        </w:numPr>
      </w:pPr>
      <w:r>
        <w:rPr>
          <w:rFonts w:ascii="Times New Roman" w:hAnsi="Times New Roman"/>
          <w:color w:val="000000"/>
        </w:rPr>
        <w:t xml:space="preserve">Preregistered, broad multilingual search with benchmark-based sensitivity checking.</w:t>
      </w:r>
    </w:p>
    <w:p>
      <w:pPr>
        <w:pStyle w:val="Compact"/>
        <w:widowControl/>
        <w:numPr>
          <w:ilvl w:val="0"/>
          <w:numId w:val="1020"/>
        </w:numPr>
      </w:pPr>
      <w:r>
        <w:rPr>
          <w:rFonts w:ascii="Times New Roman" w:hAnsi="Times New Roman"/>
          <w:color w:val="000000"/>
        </w:rPr>
        <w:t xml:space="preserve">Complete cross-checking of extraction, if confirmed.</w:t>
      </w:r>
    </w:p>
    <w:p>
      <w:pPr>
        <w:pStyle w:val="Compact"/>
        <w:widowControl/>
        <w:numPr>
          <w:ilvl w:val="0"/>
          <w:numId w:val="1020"/>
        </w:numPr>
      </w:pPr>
      <w:r>
        <w:rPr>
          <w:rFonts w:ascii="Times New Roman" w:hAnsi="Times New Roman"/>
          <w:color w:val="000000"/>
        </w:rPr>
        <w:t xml:space="preserve">Explicit harmonization of behavioural direction.</w:t>
      </w:r>
    </w:p>
    <w:p>
      <w:pPr>
        <w:pStyle w:val="Compact"/>
        <w:widowControl/>
        <w:numPr>
          <w:ilvl w:val="0"/>
          <w:numId w:val="1020"/>
        </w:numPr>
      </w:pPr>
      <w:r>
        <w:rPr>
          <w:rFonts w:ascii="Times New Roman" w:hAnsi="Times New Roman"/>
          <w:color w:val="000000"/>
        </w:rPr>
        <w:t xml:space="preserve">Multilevel models retain multiple outcomes and represent shared-group sampling covariance.</w:t>
      </w:r>
    </w:p>
    <w:p>
      <w:pPr>
        <w:pStyle w:val="Compact"/>
        <w:widowControl/>
        <w:numPr>
          <w:ilvl w:val="0"/>
          <w:numId w:val="1020"/>
        </w:numPr>
      </w:pPr>
      <w:r>
        <w:rPr>
          <w:rFonts w:ascii="Times New Roman" w:hAnsi="Times New Roman"/>
          <w:color w:val="000000"/>
        </w:rPr>
        <w:t xml:space="preserve">Separate analyses of mean and variability, complete moderator reporting, study-level leave-one-out checks, and adapted CRIME-Q appraisal.</w:t>
      </w:r>
    </w:p>
    <w:bookmarkEnd w:id="33"/>
    <w:bookmarkStart w:id="34" w:name="limitations"/>
    <w:p>
      <w:pPr>
        <w:pStyle w:val="Heading3"/>
        <w:widowControl/>
      </w:pPr>
      <w:r>
        <w:rPr>
          <w:rFonts w:ascii="Times New Roman" w:hAnsi="Times New Roman"/>
          <w:color w:val="000000"/>
        </w:rPr>
        <w:t xml:space="preserve">Limitations</w:t>
      </w:r>
    </w:p>
    <w:p>
      <w:pPr>
        <w:pStyle w:val="Compact"/>
        <w:widowControl/>
        <w:numPr>
          <w:ilvl w:val="0"/>
          <w:numId w:val="1021"/>
        </w:numPr>
      </w:pPr>
      <w:r>
        <w:rPr>
          <w:rFonts w:ascii="Times New Roman" w:hAnsi="Times New Roman"/>
          <w:color w:val="000000"/>
        </w:rPr>
        <w:t xml:space="preserve">Only 16 studies; moderator levels often come from few independent studies even when</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is large.</w:t>
      </w:r>
    </w:p>
    <w:p>
      <w:pPr>
        <w:pStyle w:val="Compact"/>
        <w:widowControl/>
        <w:numPr>
          <w:ilvl w:val="0"/>
          <w:numId w:val="1021"/>
        </w:numPr>
      </w:pPr>
      <w:r>
        <w:rPr>
          <w:rFonts w:ascii="Times New Roman" w:hAnsi="Times New Roman"/>
          <w:color w:val="000000"/>
        </w:rPr>
        <w:t xml:space="preserve">Uni-moderator results are correlated and do not estimate independent causal contributions.</w:t>
      </w:r>
    </w:p>
    <w:p>
      <w:pPr>
        <w:pStyle w:val="Compact"/>
        <w:widowControl/>
        <w:numPr>
          <w:ilvl w:val="0"/>
          <w:numId w:val="1021"/>
        </w:numPr>
      </w:pPr>
      <w:r>
        <w:rPr>
          <w:rFonts w:ascii="Times New Roman" w:hAnsi="Times New Roman"/>
          <w:color w:val="000000"/>
        </w:rPr>
        <w:t xml:space="preserve">Working correlation ρ = 0.5 was assumed rather than observed; add a ρ-sensitivity analysis if feasible.</w:t>
      </w:r>
    </w:p>
    <w:p>
      <w:pPr>
        <w:pStyle w:val="Compact"/>
        <w:widowControl/>
        <w:numPr>
          <w:ilvl w:val="0"/>
          <w:numId w:val="1021"/>
        </w:numPr>
      </w:pPr>
      <w:r>
        <w:rPr>
          <w:rFonts w:ascii="Times New Roman" w:hAnsi="Times New Roman"/>
          <w:color w:val="000000"/>
        </w:rPr>
        <w:t xml:space="preserve">lnVR and lnCVR were added after registration and must be labelled as such.</w:t>
      </w:r>
    </w:p>
    <w:p>
      <w:pPr>
        <w:pStyle w:val="Compact"/>
        <w:widowControl/>
        <w:numPr>
          <w:ilvl w:val="0"/>
          <w:numId w:val="1021"/>
        </w:numPr>
      </w:pPr>
      <w:r>
        <w:rPr>
          <w:rFonts w:ascii="Times New Roman" w:hAnsi="Times New Roman"/>
          <w:color w:val="000000"/>
        </w:rPr>
        <w:t xml:space="preserve">Continuity corrections were needed for two effect sizes; the exclusion check was stable.</w:t>
      </w:r>
    </w:p>
    <w:p>
      <w:pPr>
        <w:pStyle w:val="Compact"/>
        <w:widowControl/>
        <w:numPr>
          <w:ilvl w:val="0"/>
          <w:numId w:val="1021"/>
        </w:numPr>
      </w:pPr>
      <w:r>
        <w:rPr>
          <w:rFonts w:ascii="Times New Roman" w:hAnsi="Times New Roman"/>
          <w:color w:val="000000"/>
        </w:rPr>
        <w:t xml:space="preserve">Search dates, author contact outcomes, and appraisal workflow still need confirmation in the final text.</w:t>
      </w:r>
    </w:p>
    <w:bookmarkEnd w:id="34"/>
    <w:bookmarkStart w:id="35" w:name="recommendations"/>
    <w:p>
      <w:pPr>
        <w:pStyle w:val="Heading3"/>
        <w:widowControl/>
      </w:pPr>
      <w:r>
        <w:rPr>
          <w:rFonts w:ascii="Times New Roman" w:hAnsi="Times New Roman"/>
          <w:color w:val="000000"/>
        </w:rPr>
        <w:t xml:space="preserve">Recommendations</w:t>
      </w:r>
    </w:p>
    <w:p>
      <w:pPr>
        <w:pStyle w:val="Compact"/>
        <w:widowControl/>
        <w:numPr>
          <w:ilvl w:val="0"/>
          <w:numId w:val="1022"/>
        </w:numPr>
      </w:pPr>
      <w:r>
        <w:rPr>
          <w:rFonts w:ascii="Times New Roman" w:hAnsi="Times New Roman"/>
          <w:color w:val="000000"/>
        </w:rPr>
        <w:t xml:space="preserve">Balance sexes and report sex-disaggregated outcomes.</w:t>
      </w:r>
    </w:p>
    <w:p>
      <w:pPr>
        <w:pStyle w:val="Compact"/>
        <w:widowControl/>
        <w:numPr>
          <w:ilvl w:val="0"/>
          <w:numId w:val="1022"/>
        </w:numPr>
      </w:pPr>
      <w:r>
        <w:rPr>
          <w:rFonts w:ascii="Times New Roman" w:hAnsi="Times New Roman"/>
          <w:color w:val="000000"/>
        </w:rPr>
        <w:t xml:space="preserve">Replicate mouse and depression-like outcomes across laboratories.</w:t>
      </w:r>
    </w:p>
    <w:p>
      <w:pPr>
        <w:pStyle w:val="Compact"/>
        <w:widowControl/>
        <w:numPr>
          <w:ilvl w:val="0"/>
          <w:numId w:val="1022"/>
        </w:numPr>
      </w:pPr>
      <w:r>
        <w:rPr>
          <w:rFonts w:ascii="Times New Roman" w:hAnsi="Times New Roman"/>
          <w:color w:val="000000"/>
        </w:rPr>
        <w:t xml:space="preserve">Report exact sound level, frequency spectrum, playback schedule, gestational window, background/control sound, cage placement, and acoustic isolation.</w:t>
      </w:r>
    </w:p>
    <w:p>
      <w:pPr>
        <w:pStyle w:val="Compact"/>
        <w:widowControl/>
        <w:numPr>
          <w:ilvl w:val="0"/>
          <w:numId w:val="1022"/>
        </w:numPr>
      </w:pPr>
      <w:r>
        <w:rPr>
          <w:rFonts w:ascii="Times New Roman" w:hAnsi="Times New Roman"/>
          <w:color w:val="000000"/>
        </w:rPr>
        <w:t xml:space="preserve">Prespecify primary outcomes and analysis plans; report all exclusions and animal-level attrition by group.</w:t>
      </w:r>
    </w:p>
    <w:p>
      <w:pPr>
        <w:pStyle w:val="Compact"/>
        <w:widowControl/>
        <w:numPr>
          <w:ilvl w:val="0"/>
          <w:numId w:val="1022"/>
        </w:numPr>
      </w:pPr>
      <w:r>
        <w:rPr>
          <w:rFonts w:ascii="Times New Roman" w:hAnsi="Times New Roman"/>
          <w:color w:val="000000"/>
        </w:rPr>
        <w:t xml:space="preserve">Report raw or individual-level data so future syntheses can model distributions and dependence more directly.</w:t>
      </w:r>
    </w:p>
    <w:bookmarkEnd w:id="35"/>
    <w:bookmarkStart w:id="36" w:name="closing-sentence"/>
    <w:p>
      <w:pPr>
        <w:pStyle w:val="Heading3"/>
        <w:widowControl/>
      </w:pPr>
      <w:r>
        <w:rPr>
          <w:rFonts w:ascii="Times New Roman" w:hAnsi="Times New Roman"/>
          <w:color w:val="000000"/>
        </w:rPr>
        <w:t xml:space="preserve">Closing sentence</w:t>
      </w:r>
    </w:p>
    <w:p>
      <w:pPr>
        <w:pStyle w:val="Compact"/>
        <w:widowControl/>
        <w:numPr>
          <w:ilvl w:val="0"/>
          <w:numId w:val="1023"/>
        </w:numPr>
      </w:pPr>
      <w:r>
        <w:rPr>
          <w:rFonts w:ascii="Times New Roman" w:hAnsi="Times New Roman"/>
          <w:color w:val="000000"/>
        </w:rPr>
        <w:t xml:space="preserve">Prenatal noise may shape offspring affect-related behaviour, but better-replicated and better-reported experiments are needed to determine when, how strongly, and for which offspring these effects occur.</w:t>
      </w:r>
    </w:p>
    <w:bookmarkEnd w:id="36"/>
    <w:bookmarkEnd w:id="37"/>
    <w:bookmarkEnd w:id="38"/>
    <w:bookmarkStart w:id="50" w:name="Xe20b9fa2d8e84f4ffbc088464ff52544d6c9481"/>
    <w:p>
      <w:pPr>
        <w:pStyle w:val="Heading1"/>
        <w:widowControl/>
      </w:pPr>
      <w:r>
        <w:rPr>
          <w:rFonts w:ascii="Times New Roman" w:hAnsi="Times New Roman"/>
          <w:color w:val="000000"/>
        </w:rPr>
        <w:t xml:space="preserve">Draft Methods — working text bank (currently about 1,800 words; compress to 1,400-1,500)</w:t>
      </w:r>
    </w:p>
    <w:p>
      <w:pPr>
        <w:pStyle w:val="FirstParagraph"/>
        <w:widowControl/>
      </w:pPr>
      <w:r>
        <w:rPr>
          <w:rFonts w:ascii="Times New Roman" w:hAnsi="Times New Roman"/>
          <w:color w:val="000000"/>
        </w:rPr>
        <w:t xml:space="preserve">This draft is deliberately fuller than the manuscript allocation so that you can choose what to retain. Move equations, operational detail, and complete deviation descriptions to Appendix III when you compress the main Methods.</w:t>
      </w:r>
    </w:p>
    <w:bookmarkStart w:id="39" w:name="protocol-and-reporting"/>
    <w:p>
      <w:pPr>
        <w:pStyle w:val="Heading2"/>
        <w:widowControl/>
      </w:pPr>
      <w:r>
        <w:rPr>
          <w:rFonts w:ascii="Times New Roman" w:hAnsi="Times New Roman"/>
          <w:color w:val="000000"/>
        </w:rPr>
        <w:t xml:space="preserve">Protocol and reporting</w:t>
      </w:r>
    </w:p>
    <w:p>
      <w:pPr>
        <w:pStyle w:val="FirstParagraph"/>
        <w:widowControl/>
      </w:pPr>
      <w:r>
        <w:rPr>
          <w:rFonts w:ascii="Times New Roman" w:hAnsi="Times New Roman"/>
          <w:color w:val="000000"/>
        </w:rPr>
        <w:t xml:space="preserve">We preregistered the systematic-review protocol on the Open Science Framework on 14 November 2025 [ADD OSF DOI/URL and registration identifier]. We developed the search and review procedures before formal screening. We report the search following PRISMA-S and the completed review following PRISMA-EcoEvo. We will use MeRIT to report each author’s methodological contributions.</w:t>
      </w:r>
    </w:p>
    <w:bookmarkEnd w:id="39"/>
    <w:bookmarkStart w:id="40" w:name="eligibility-criteria"/>
    <w:p>
      <w:pPr>
        <w:pStyle w:val="Heading2"/>
        <w:widowControl/>
      </w:pPr>
      <w:r>
        <w:rPr>
          <w:rFonts w:ascii="Times New Roman" w:hAnsi="Times New Roman"/>
          <w:color w:val="000000"/>
        </w:rPr>
        <w:t xml:space="preserve">Eligibility criteria</w:t>
      </w:r>
    </w:p>
    <w:p>
      <w:pPr>
        <w:pStyle w:val="FirstParagraph"/>
        <w:widowControl/>
      </w:pPr>
      <w:r>
        <w:rPr>
          <w:rFonts w:ascii="Times New Roman" w:hAnsi="Times New Roman"/>
          <w:color w:val="000000"/>
        </w:rPr>
        <w:t xml:space="preserve">We defined eligibility with the Population, Exposure/Intervention, Comparator, Outcomes, and Study type (PECOS) framework. We included experimental primary studies of offspring from laboratory-bred rodent dams. Eligible offspring were not genetically modified or exposed to behaviour-modifying pharmacological or surgical procedures, except for appropriate sham controls. We excluded studies in which dams or offspring received another perinatal stressor that prevented isolation of the noise effect.</w:t>
      </w:r>
    </w:p>
    <w:p>
      <w:pPr>
        <w:pStyle w:val="BodyText"/>
        <w:widowControl/>
      </w:pPr>
      <w:r>
        <w:rPr>
          <w:rFonts w:ascii="Times New Roman" w:hAnsi="Times New Roman"/>
          <w:color w:val="000000"/>
        </w:rPr>
        <w:t xml:space="preserve">Eligible dams experienced an intermittent or continuous acoustic stimulus without musical structure for at least seven consecutive days during gestation; exposure could begin before gestation if it continued during gestation. We included infrasonic, audible, or ultrasonic stimuli that the authors described and used as stressors. We excluded music, acute acoustic exposure, natural sounds, animal calls, and noise combined with other stressors when the effect of noise could not be isolated. The comparator was offspring from dams not exposed to the experimental chronic-noise treatment during gestation. Eligible controls could experience ambient sound, white noise, or explicitly reported silence.</w:t>
      </w:r>
    </w:p>
    <w:p>
      <w:pPr>
        <w:pStyle w:val="BodyText"/>
        <w:widowControl/>
      </w:pPr>
      <w:r>
        <w:rPr>
          <w:rFonts w:ascii="Times New Roman" w:hAnsi="Times New Roman"/>
          <w:color w:val="000000"/>
        </w:rPr>
        <w:t xml:space="preserve">Studies had to report at least one postnatal measure of anxiety- or depression-like behaviour. Eligible assays included the Open Field Test, Elevated Plus Maze, Elevated T Maze, Light-Dark Box, Hole Board Test, Novelty-Suppressed Feeding, Defensive Withdrawal Test, Tail Suspension Test, Forced Swim Test, Sucrose Preference Test, or an equivalent assay supported by the authors’ classification. We excluded reports limited to histological, biochemical, molecular, genetic, or maternal outcomes. We included peer-reviewed studies and theses or dissertations but excluded reviews, methodological or simulation studies, case reports, and conference abstracts without sufficient methods and results.</w:t>
      </w:r>
    </w:p>
    <w:bookmarkEnd w:id="40"/>
    <w:bookmarkStart w:id="41" w:name="search-strategy-and-study-selection"/>
    <w:p>
      <w:pPr>
        <w:pStyle w:val="Heading2"/>
        <w:widowControl/>
      </w:pPr>
      <w:r>
        <w:rPr>
          <w:rFonts w:ascii="Times New Roman" w:hAnsi="Times New Roman"/>
          <w:color w:val="000000"/>
        </w:rPr>
        <w:t xml:space="preserve">Search strategy and study selection</w:t>
      </w:r>
    </w:p>
    <w:p>
      <w:pPr>
        <w:pStyle w:val="FirstParagraph"/>
        <w:widowControl/>
      </w:pPr>
      <w:r>
        <w:rPr>
          <w:rFonts w:ascii="Times New Roman" w:hAnsi="Times New Roman"/>
          <w:color w:val="000000"/>
        </w:rPr>
        <w:t xml:space="preserve">We developed English search strings from the PECOS concepts and adapted them for Scopus, Web of Science, PubMed, PsycINFO, OpenAlex, the Bielefeld Academic Search Engine (BASE), and Google Scholar. We applied no publication-year or subject-area restriction and considered records in English, French, Italian, Portuguese, Spanish, Polish, Russian, and Japanese. [ADD last search date for each source and state exactly how many Google Scholar results were retained per query.] We evaluated search sensitivity with relative recall against eight benchmark studies. Seven benchmark studies were indexed in Scopus, and the final Scopus string retrieved all seven.</w:t>
      </w:r>
    </w:p>
    <w:p>
      <w:pPr>
        <w:pStyle w:val="BodyText"/>
        <w:widowControl/>
      </w:pPr>
      <w:r>
        <w:rPr>
          <w:rFonts w:ascii="Times New Roman" w:hAnsi="Times New Roman"/>
          <w:color w:val="000000"/>
        </w:rPr>
        <w:t xml:space="preserve">We imported records into R for initial deduplication and then into Rayyan for a second deduplication and two-stage screening. Two reviewers independently screened titles and abstracts and then full texts. We resolved disagreements through discussion [ADD third-reviewer rule if used]. We recorded one primary exclusion reason for each excluded full-text report. The search identified 5,889 records; after removing 3,576 duplicates, we screened 2,313 unique records. We assessed 87 reports at full text, excluded 75, and included 12 studies from the formal search. Four additional benchmark studies met the eligibility criteria, giving 16 studies in the meta-analysis. Figure S1 presents the selection process, and Appendix III, Table S2 lists excluded full-text reports and reasons.</w:t>
      </w:r>
    </w:p>
    <w:bookmarkEnd w:id="41"/>
    <w:bookmarkStart w:id="42" w:name="data-extraction"/>
    <w:p>
      <w:pPr>
        <w:pStyle w:val="Heading2"/>
        <w:widowControl/>
      </w:pPr>
      <w:r>
        <w:rPr>
          <w:rFonts w:ascii="Times New Roman" w:hAnsi="Times New Roman"/>
          <w:color w:val="000000"/>
        </w:rPr>
        <w:t xml:space="preserve">Data extraction</w:t>
      </w:r>
    </w:p>
    <w:p>
      <w:pPr>
        <w:pStyle w:val="FirstParagraph"/>
        <w:widowControl/>
      </w:pPr>
      <w:r>
        <w:rPr>
          <w:rFonts w:ascii="Times New Roman" w:hAnsi="Times New Roman"/>
          <w:color w:val="000000"/>
        </w:rPr>
        <w:t xml:space="preserve">One reviewer (A.L.) extracted study identifiers, species and strain, dam and offspring characteristics, exposure and control conditions, assay and outcome information, and the summary statistics needed to calculate effect sizes. The other team members divided and independently cross-checked the complete extraction [CONFIRM that 100% cross-checking was completed before retaining this sentence]. Before full extraction, A.L. and M.L. independently extracted two benchmark studies and reconciled differences to refine the codebook. When numerical results appeared only in figures, we digitized them with the R package</w:t>
      </w:r>
      <w:r>
        <w:rPr>
          <w:rFonts w:ascii="Times New Roman" w:hAnsi="Times New Roman"/>
          <w:color w:val="000000"/>
        </w:rPr>
        <w:t xml:space="preserve"> </w:t>
      </w:r>
      <w:r>
        <w:rPr>
          <w:rStyle w:val="VerbatimChar"/>
          <w:rFonts w:ascii="Times New Roman" w:hAnsi="Times New Roman"/>
          <w:color w:val="000000"/>
        </w:rPr>
        <w:t xml:space="preserve">metaDigitise</w:t>
      </w:r>
      <w:r>
        <w:rPr>
          <w:rFonts w:ascii="Times New Roman" w:hAnsi="Times New Roman"/>
          <w:color w:val="000000"/>
        </w:rPr>
        <w:t xml:space="preserve">.</w:t>
      </w:r>
    </w:p>
    <w:p>
      <w:pPr>
        <w:pStyle w:val="BodyText"/>
        <w:widowControl/>
      </w:pPr>
      <w:r>
        <w:rPr>
          <w:rFonts w:ascii="Times New Roman" w:hAnsi="Times New Roman"/>
          <w:color w:val="000000"/>
        </w:rPr>
        <w:t xml:space="preserve">We retained the source database unchanged and created analysis-ready derived files. When a report provided a median and interquartile range but no mean or standard deviation, we estimated the mean with the Luo et al. method and the standard deviation with the Wan et al. method. We converted standard errors to standard deviations as SD = SE × √n and calculated missing standard errors as SE = SD/√n. We retained extracted values when the required statistic was reported directly and recorded the provenance of every derived value.</w:t>
      </w:r>
    </w:p>
    <w:p>
      <w:pPr>
        <w:pStyle w:val="BodyText"/>
        <w:widowControl/>
      </w:pPr>
      <w:r>
        <w:rPr>
          <w:rFonts w:ascii="Times New Roman" w:hAnsi="Times New Roman"/>
          <w:color w:val="000000"/>
        </w:rPr>
        <w:t xml:space="preserve">We excluded ten outcomes (</w:t>
      </w:r>
      <w:r>
        <w:rPr>
          <w:rStyle w:val="VerbatimChar"/>
          <w:rFonts w:ascii="Times New Roman" w:hAnsi="Times New Roman"/>
          <w:color w:val="000000"/>
        </w:rPr>
        <w:t xml:space="preserve">out045</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Style w:val="VerbatimChar"/>
          <w:rFonts w:ascii="Times New Roman" w:hAnsi="Times New Roman"/>
          <w:color w:val="000000"/>
        </w:rPr>
        <w:t xml:space="preserve">out067</w:t>
      </w:r>
      <w:r>
        <w:rPr>
          <w:rFonts w:ascii="Times New Roman" w:hAnsi="Times New Roman"/>
          <w:color w:val="000000"/>
        </w:rPr>
        <w:t xml:space="preserve">-</w:t>
      </w:r>
      <w:r>
        <w:rPr>
          <w:rStyle w:val="VerbatimChar"/>
          <w:rFonts w:ascii="Times New Roman" w:hAnsi="Times New Roman"/>
          <w:color w:val="000000"/>
        </w:rPr>
        <w:t xml:space="preserve">out075</w:t>
      </w:r>
      <w:r>
        <w:rPr>
          <w:rFonts w:ascii="Times New Roman" w:hAnsi="Times New Roman"/>
          <w:color w:val="000000"/>
        </w:rPr>
        <w:t xml:space="preserve">) from the analysis because the corresponding outcomes were not described in the methods of the full-text reports. We retained these rows in the extraction record and documented the exclusion before modelling. [ADD this decision to the deviations record if it is not already documented.]</w:t>
      </w:r>
    </w:p>
    <w:bookmarkEnd w:id="42"/>
    <w:bookmarkStart w:id="43" w:name="X0faecac2490bfba5f6ba0e19d2ce11f9b19e45e"/>
    <w:p>
      <w:pPr>
        <w:pStyle w:val="Heading2"/>
        <w:widowControl/>
      </w:pPr>
      <w:r>
        <w:rPr>
          <w:rFonts w:ascii="Times New Roman" w:hAnsi="Times New Roman"/>
          <w:color w:val="000000"/>
        </w:rPr>
        <w:t xml:space="preserve">Protocol deviations and post-extraction decisions</w:t>
      </w:r>
    </w:p>
    <w:p>
      <w:pPr>
        <w:pStyle w:val="FirstParagraph"/>
        <w:widowControl/>
      </w:pPr>
      <w:r>
        <w:rPr>
          <w:rFonts w:ascii="Times New Roman" w:hAnsi="Times New Roman"/>
          <w:color w:val="000000"/>
        </w:rPr>
        <w:t xml:space="preserve">We added several operational rules after extraction and before or during modelling. We retained offspring age in days as the primary continuous age moderator. We also classified juvenile, adolescent, and adult stages with species- and sex-specific thresholds for descriptive and sensitivity analyses only. Following the registered codebook, we extracted the gestational stage of noise exposure in</w:t>
      </w:r>
      <w:r>
        <w:rPr>
          <w:rFonts w:ascii="Times New Roman" w:hAnsi="Times New Roman"/>
          <w:color w:val="000000"/>
        </w:rPr>
        <w:t xml:space="preserve"> </w:t>
      </w:r>
      <w:r>
        <w:rPr>
          <w:rStyle w:val="VerbatimChar"/>
          <w:rFonts w:ascii="Times New Roman" w:hAnsi="Times New Roman"/>
          <w:color w:val="000000"/>
        </w:rPr>
        <w:t xml:space="preserve">gest_stage_ex</w:t>
      </w:r>
      <w:r>
        <w:rPr>
          <w:rFonts w:ascii="Times New Roman" w:hAnsi="Times New Roman"/>
          <w:color w:val="000000"/>
        </w:rPr>
        <w:t xml:space="preserve">, using early (days 0-7), mid (days 8-14), late (day 15 to term), combinations of these stages,</w:t>
      </w:r>
      <w:r>
        <w:rPr>
          <w:rFonts w:ascii="Times New Roman" w:hAnsi="Times New Roman"/>
          <w:color w:val="000000"/>
        </w:rPr>
        <w:t xml:space="preserve"> </w:t>
      </w:r>
      <w:r>
        <w:rPr>
          <w:rStyle w:val="VerbatimChar"/>
          <w:rFonts w:ascii="Times New Roman" w:hAnsi="Times New Roman"/>
          <w:color w:val="000000"/>
        </w:rPr>
        <w:t xml:space="preserve">Not reported</w:t>
      </w:r>
      <w:r>
        <w:rPr>
          <w:rFonts w:ascii="Times New Roman" w:hAnsi="Times New Roman"/>
          <w:color w:val="000000"/>
        </w:rPr>
        <w:t xml:space="preserve">, or</w:t>
      </w:r>
      <w:r>
        <w:rPr>
          <w:rFonts w:ascii="Times New Roman" w:hAnsi="Times New Roman"/>
          <w:color w:val="000000"/>
        </w:rPr>
        <w:t xml:space="preserve"> </w:t>
      </w:r>
      <w:r>
        <w:rPr>
          <w:rStyle w:val="VerbatimChar"/>
          <w:rFonts w:ascii="Times New Roman" w:hAnsi="Times New Roman"/>
          <w:color w:val="000000"/>
        </w:rPr>
        <w:t xml:space="preserve">Unclear</w:t>
      </w:r>
      <w:r>
        <w:rPr>
          <w:rFonts w:ascii="Times New Roman" w:hAnsi="Times New Roman"/>
          <w:color w:val="000000"/>
        </w:rPr>
        <w:t xml:space="preserve">. For the current meta-regression, we derived the mutually exclusive analysis variable</w:t>
      </w:r>
      <w:r>
        <w:rPr>
          <w:rFonts w:ascii="Times New Roman" w:hAnsi="Times New Roman"/>
          <w:color w:val="000000"/>
        </w:rPr>
        <w:t xml:space="preserve"> </w:t>
      </w:r>
      <w:r>
        <w:rPr>
          <w:rStyle w:val="VerbatimChar"/>
          <w:rFonts w:ascii="Times New Roman" w:hAnsi="Times New Roman"/>
          <w:color w:val="000000"/>
        </w:rPr>
        <w:t xml:space="preserve">gest_stage_ex_standardised</w:t>
      </w:r>
      <w:r>
        <w:rPr>
          <w:rFonts w:ascii="Times New Roman" w:hAnsi="Times New Roman"/>
          <w:color w:val="000000"/>
        </w:rPr>
        <w:t xml:space="preserve"> </w:t>
      </w:r>
      <w:r>
        <w:rPr>
          <w:rFonts w:ascii="Times New Roman" w:hAnsi="Times New Roman"/>
          <w:color w:val="000000"/>
        </w:rPr>
        <w:t xml:space="preserve">with the categories</w:t>
      </w:r>
      <w:r>
        <w:rPr>
          <w:rFonts w:ascii="Times New Roman" w:hAnsi="Times New Roman"/>
          <w:color w:val="000000"/>
        </w:rPr>
        <w:t xml:space="preserve"> </w:t>
      </w:r>
      <w:r>
        <w:rPr>
          <w:rStyle w:val="VerbatimChar"/>
          <w:rFonts w:ascii="Times New Roman" w:hAnsi="Times New Roman"/>
          <w:color w:val="000000"/>
        </w:rPr>
        <w:t xml:space="preserve">early_mid</w:t>
      </w:r>
      <w:r>
        <w:rPr>
          <w:rFonts w:ascii="Times New Roman" w:hAnsi="Times New Roman"/>
          <w:color w:val="000000"/>
        </w:rPr>
        <w:t xml:space="preserve">,</w:t>
      </w:r>
      <w:r>
        <w:rPr>
          <w:rFonts w:ascii="Times New Roman" w:hAnsi="Times New Roman"/>
          <w:color w:val="000000"/>
        </w:rPr>
        <w:t xml:space="preserve"> </w:t>
      </w:r>
      <w:r>
        <w:rPr>
          <w:rStyle w:val="VerbatimChar"/>
          <w:rFonts w:ascii="Times New Roman" w:hAnsi="Times New Roman"/>
          <w:color w:val="000000"/>
        </w:rPr>
        <w:t xml:space="preserve">mid_late</w:t>
      </w:r>
      <w:r>
        <w:rPr>
          <w:rFonts w:ascii="Times New Roman" w:hAnsi="Times New Roman"/>
          <w:color w:val="000000"/>
        </w:rPr>
        <w:t xml:space="preserve">,</w:t>
      </w:r>
      <w:r>
        <w:rPr>
          <w:rFonts w:ascii="Times New Roman" w:hAnsi="Times New Roman"/>
          <w:color w:val="000000"/>
        </w:rPr>
        <w:t xml:space="preserve"> </w:t>
      </w:r>
      <w:r>
        <w:rPr>
          <w:rStyle w:val="VerbatimChar"/>
          <w:rFonts w:ascii="Times New Roman" w:hAnsi="Times New Roman"/>
          <w:color w:val="000000"/>
        </w:rPr>
        <w:t xml:space="preserve">late</w:t>
      </w:r>
      <w:r>
        <w:rPr>
          <w:rFonts w:ascii="Times New Roman" w:hAnsi="Times New Roman"/>
          <w:color w:val="000000"/>
        </w:rPr>
        <w:t xml:space="preserve">, and</w:t>
      </w:r>
      <w:r>
        <w:rPr>
          <w:rFonts w:ascii="Times New Roman" w:hAnsi="Times New Roman"/>
          <w:color w:val="000000"/>
        </w:rPr>
        <w:t xml:space="preserve"> </w:t>
      </w:r>
      <w:r>
        <w:rPr>
          <w:rStyle w:val="VerbatimChar"/>
          <w:rFonts w:ascii="Times New Roman" w:hAnsi="Times New Roman"/>
          <w:color w:val="000000"/>
        </w:rPr>
        <w:t xml:space="preserve">full_gestation</w:t>
      </w:r>
      <w:r>
        <w:rPr>
          <w:rFonts w:ascii="Times New Roman" w:hAnsi="Times New Roman"/>
          <w:color w:val="000000"/>
        </w:rPr>
        <w:t xml:space="preserve">. We added</w:t>
      </w:r>
      <w:r>
        <w:rPr>
          <w:rFonts w:ascii="Times New Roman" w:hAnsi="Times New Roman"/>
          <w:color w:val="000000"/>
        </w:rPr>
        <w:t xml:space="preserve"> </w:t>
      </w:r>
      <w:r>
        <w:rPr>
          <w:rStyle w:val="VerbatimChar"/>
          <w:rFonts w:ascii="Times New Roman" w:hAnsi="Times New Roman"/>
          <w:color w:val="000000"/>
        </w:rPr>
        <w:t xml:space="preserve">Unclear</w:t>
      </w:r>
      <w:r>
        <w:rPr>
          <w:rFonts w:ascii="Times New Roman" w:hAnsi="Times New Roman"/>
          <w:color w:val="000000"/>
        </w:rPr>
        <w:t xml:space="preserve"> </w:t>
      </w:r>
      <w:r>
        <w:rPr>
          <w:rFonts w:ascii="Times New Roman" w:hAnsi="Times New Roman"/>
          <w:color w:val="000000"/>
        </w:rPr>
        <w:t xml:space="preserve">to the control-condition variable when the report did not distinguish silence from ambient or another acoustic condition. We used the physical control setting descriptively and did not fit it as a moderator. We renamed the standardized acoustic-band variable</w:t>
      </w:r>
      <w:r>
        <w:rPr>
          <w:rFonts w:ascii="Times New Roman" w:hAnsi="Times New Roman"/>
          <w:color w:val="000000"/>
        </w:rPr>
        <w:t xml:space="preserve"> </w:t>
      </w:r>
      <w:r>
        <w:rPr>
          <w:rStyle w:val="VerbatimChar"/>
          <w:rFonts w:ascii="Times New Roman" w:hAnsi="Times New Roman"/>
          <w:color w:val="000000"/>
        </w:rPr>
        <w:t xml:space="preserve">noise_frequency_range</w:t>
      </w:r>
      <w:r>
        <w:rPr>
          <w:rFonts w:ascii="Times New Roman" w:hAnsi="Times New Roman"/>
          <w:color w:val="000000"/>
        </w:rPr>
        <w:t xml:space="preserve"> </w:t>
      </w:r>
      <w:r>
        <w:rPr>
          <w:rFonts w:ascii="Times New Roman" w:hAnsi="Times New Roman"/>
          <w:color w:val="000000"/>
        </w:rPr>
        <w:t xml:space="preserve">and treated its</w:t>
      </w:r>
      <w:r>
        <w:rPr>
          <w:rFonts w:ascii="Times New Roman" w:hAnsi="Times New Roman"/>
          <w:color w:val="000000"/>
        </w:rPr>
        <w:t xml:space="preserve"> </w:t>
      </w:r>
      <w:r>
        <w:rPr>
          <w:rStyle w:val="VerbatimChar"/>
          <w:rFonts w:ascii="Times New Roman" w:hAnsi="Times New Roman"/>
          <w:color w:val="000000"/>
        </w:rPr>
        <w:t xml:space="preserve">Unclear</w:t>
      </w:r>
      <w:r>
        <w:rPr>
          <w:rFonts w:ascii="Times New Roman" w:hAnsi="Times New Roman"/>
          <w:color w:val="000000"/>
        </w:rPr>
        <w:t xml:space="preserve"> </w:t>
      </w:r>
      <w:r>
        <w:rPr>
          <w:rFonts w:ascii="Times New Roman" w:hAnsi="Times New Roman"/>
          <w:color w:val="000000"/>
        </w:rPr>
        <w:t xml:space="preserve">level as missing in moderator models. We included strain as a random-effect grouping factor rather than as a categorical uni-moderator.</w:t>
      </w:r>
    </w:p>
    <w:p>
      <w:pPr>
        <w:pStyle w:val="BodyText"/>
        <w:widowControl/>
      </w:pPr>
      <w:r>
        <w:rPr>
          <w:rFonts w:ascii="Times New Roman" w:hAnsi="Times New Roman"/>
          <w:color w:val="000000"/>
        </w:rPr>
        <w:t xml:space="preserve">The registered protocol specified lnRR but did not specify lnVR or lnCVR. We added lnVR to evaluate absolute behavioural variability and used lnCVR as a supplementary relative-variability analysis. We recorded both additions, their timing, and their rationale in the deviations-and-additions record [ADD decision date/reference once entered]. We also added exposure type and control conditions as exploratory uni-moderators; the registered questions did not explicitly promise these variables.</w:t>
      </w:r>
    </w:p>
    <w:bookmarkEnd w:id="43"/>
    <w:bookmarkStart w:id="44" w:name="effect-size-calculation"/>
    <w:p>
      <w:pPr>
        <w:pStyle w:val="Heading2"/>
        <w:widowControl/>
      </w:pPr>
      <w:r>
        <w:rPr>
          <w:rFonts w:ascii="Times New Roman" w:hAnsi="Times New Roman"/>
          <w:color w:val="000000"/>
        </w:rPr>
        <w:t xml:space="preserve">Effect-size calculation</w:t>
      </w:r>
    </w:p>
    <w:p>
      <w:pPr>
        <w:pStyle w:val="FirstParagraph"/>
        <w:widowControl/>
      </w:pPr>
      <w:r>
        <w:rPr>
          <w:rFonts w:ascii="Times New Roman" w:hAnsi="Times New Roman"/>
          <w:color w:val="000000"/>
        </w:rPr>
        <w:t xml:space="preserve">We quantified differences in mean behaviour with the bias-corrected log response ratio (lnRR):</w:t>
      </w:r>
    </w:p>
    <w:p>
      <w:pPr>
        <w:pStyle w:val="BodyText"/>
        <w:widowControl/>
      </w:pPr>
      <m:oMathPara>
        <m:oMathParaPr>
          <m:jc m:val="center"/>
        </m:oMathParaPr>
        <m:oMath>
          <m:r>
            <m:rPr>
              <m:sty m:val="p"/>
            </m:rPr>
            <m:t>ln</m:t>
          </m:r>
          <m:r>
            <m:t>R</m:t>
          </m:r>
          <m:r>
            <m:t>R</m:t>
          </m:r>
          <m:r>
            <m:rPr>
              <m:sty m:val="p"/>
            </m:rPr>
            <m:t>=</m:t>
          </m:r>
          <m:r>
            <m:rPr>
              <m:sty m:val="p"/>
            </m:rPr>
            <m:t>ln</m:t>
          </m:r>
          <m:r>
            <m:rPr>
              <m:sty m:val="p"/>
            </m:rPr>
            <m:t>(</m:t>
          </m:r>
          <m:sSub>
            <m:e>
              <m:r>
                <m:t>M</m:t>
              </m:r>
            </m:e>
            <m:sub>
              <m:r>
                <m:t>T</m:t>
              </m:r>
            </m:sub>
          </m:sSub>
          <m:r>
            <m:rPr>
              <m:sty m:val="p"/>
            </m:rPr>
            <m:t>/</m:t>
          </m:r>
          <m:sSub>
            <m:e>
              <m:r>
                <m:t>M</m:t>
              </m:r>
            </m:e>
            <m:sub>
              <m:r>
                <m:t>C</m:t>
              </m:r>
            </m:sub>
          </m:sSub>
          <m:r>
            <m:rPr>
              <m:sty m:val="p"/>
            </m:rPr>
            <m:t>)</m:t>
          </m:r>
          <m:r>
            <m:rPr>
              <m:sty m:val="p"/>
            </m:rPr>
            <m:t>+</m:t>
          </m:r>
          <m:f>
            <m:fPr>
              <m:type m:val="bar"/>
            </m:fPr>
            <m:num>
              <m:r>
                <m:t>1</m:t>
              </m:r>
            </m:num>
            <m:den>
              <m:r>
                <m:t>2</m:t>
              </m:r>
            </m:den>
          </m:f>
          <m:d>
            <m:dPr>
              <m:begChr m:val="("/>
              <m:sepChr m:val=""/>
              <m:endChr m:val=")"/>
              <m:grow/>
            </m:dPr>
            <m:e>
              <m:f>
                <m:fPr>
                  <m:type m:val="bar"/>
                </m:fPr>
                <m:num>
                  <m:r>
                    <m:t>S</m:t>
                  </m:r>
                  <m:sSubSup>
                    <m:e>
                      <m:r>
                        <m:t>D</m:t>
                      </m:r>
                    </m:e>
                    <m:sub>
                      <m:r>
                        <m:t>T</m:t>
                      </m:r>
                    </m:sub>
                    <m:sup>
                      <m:r>
                        <m:t>2</m:t>
                      </m:r>
                    </m:sup>
                  </m:sSubSup>
                </m:num>
                <m:den>
                  <m:sSub>
                    <m:e>
                      <m:r>
                        <m:t>N</m:t>
                      </m:r>
                    </m:e>
                    <m:sub>
                      <m:r>
                        <m:t>T</m:t>
                      </m:r>
                    </m:sub>
                  </m:sSub>
                  <m:sSubSup>
                    <m:e>
                      <m:r>
                        <m:t>M</m:t>
                      </m:r>
                    </m:e>
                    <m:sub>
                      <m:r>
                        <m:t>T</m:t>
                      </m:r>
                    </m:sub>
                    <m:sup>
                      <m:r>
                        <m:t>2</m:t>
                      </m:r>
                    </m:sup>
                  </m:sSubSup>
                </m:den>
              </m:f>
              <m:r>
                <m:rPr>
                  <m:sty m:val="p"/>
                </m:rPr>
                <m:t>−</m:t>
              </m:r>
              <m:f>
                <m:fPr>
                  <m:type m:val="bar"/>
                </m:fPr>
                <m:num>
                  <m:r>
                    <m:t>S</m:t>
                  </m:r>
                  <m:sSubSup>
                    <m:e>
                      <m:r>
                        <m:t>D</m:t>
                      </m:r>
                    </m:e>
                    <m:sub>
                      <m:r>
                        <m:t>C</m:t>
                      </m:r>
                    </m:sub>
                    <m:sup>
                      <m:r>
                        <m:t>2</m:t>
                      </m:r>
                    </m:sup>
                  </m:sSubSup>
                </m:num>
                <m:den>
                  <m:sSub>
                    <m:e>
                      <m:r>
                        <m:t>N</m:t>
                      </m:r>
                    </m:e>
                    <m:sub>
                      <m:r>
                        <m:t>C</m:t>
                      </m:r>
                    </m:sub>
                  </m:sSub>
                  <m:sSubSup>
                    <m:e>
                      <m:r>
                        <m:t>M</m:t>
                      </m:r>
                    </m:e>
                    <m:sub>
                      <m:r>
                        <m:t>C</m:t>
                      </m:r>
                    </m:sub>
                    <m:sup>
                      <m:r>
                        <m:t>2</m:t>
                      </m:r>
                    </m:sup>
                  </m:sSubSup>
                </m:den>
              </m:f>
            </m:e>
          </m:d>
          <m:r>
            <m:rPr>
              <m:sty m:val="p"/>
            </m:rPr>
            <m:t>,</m:t>
          </m:r>
        </m:oMath>
      </m:oMathPara>
    </w:p>
    <w:p>
      <w:pPr>
        <w:pStyle w:val="FirstParagraph"/>
        <w:widowControl/>
      </w:pPr>
      <w:r>
        <w:rPr>
          <w:rFonts w:ascii="Times New Roman" w:hAnsi="Times New Roman"/>
          <w:color w:val="000000"/>
        </w:rPr>
        <w:t xml:space="preserve">where T and C denote prenatal-noise and control groups. We reversed the sign when higher values represented less anxiety- or depression-like behaviour. Positive lnRR values therefore represent more anxiety- or depression-like behaviour in exposed offspring, and negative values represent less.</w:t>
      </w:r>
    </w:p>
    <w:p>
      <w:pPr>
        <w:pStyle w:val="BodyText"/>
        <w:widowControl/>
      </w:pPr>
      <w:r>
        <w:rPr>
          <w:rFonts w:ascii="Times New Roman" w:hAnsi="Times New Roman"/>
          <w:color w:val="000000"/>
        </w:rPr>
        <w:t xml:space="preserve">We quantified differences in absolute variability with the bias-corrected log variability ratio:</w:t>
      </w:r>
    </w:p>
    <w:p>
      <w:pPr>
        <w:pStyle w:val="BodyText"/>
        <w:widowControl/>
      </w:pPr>
      <m:oMathPara>
        <m:oMathParaPr>
          <m:jc m:val="center"/>
        </m:oMathParaPr>
        <m:oMath>
          <m:r>
            <m:rPr>
              <m:sty m:val="p"/>
            </m:rPr>
            <m:t>ln</m:t>
          </m:r>
          <m:r>
            <m:t>V</m:t>
          </m:r>
          <m:r>
            <m:t>R</m:t>
          </m:r>
          <m:r>
            <m:rPr>
              <m:sty m:val="p"/>
            </m:rPr>
            <m:t>=</m:t>
          </m:r>
          <m:r>
            <m:rPr>
              <m:sty m:val="p"/>
            </m:rPr>
            <m:t>ln</m:t>
          </m:r>
          <m:r>
            <m:rPr>
              <m:sty m:val="p"/>
            </m:rPr>
            <m:t>(</m:t>
          </m:r>
          <m:r>
            <m:t>S</m:t>
          </m:r>
          <m:sSub>
            <m:e>
              <m:r>
                <m:t>D</m:t>
              </m:r>
            </m:e>
            <m:sub>
              <m:r>
                <m:t>T</m:t>
              </m:r>
            </m:sub>
          </m:sSub>
          <m:r>
            <m:rPr>
              <m:sty m:val="p"/>
            </m:rPr>
            <m:t>/</m:t>
          </m:r>
          <m:r>
            <m:t>S</m:t>
          </m:r>
          <m:sSub>
            <m:e>
              <m:r>
                <m:t>D</m:t>
              </m:r>
            </m:e>
            <m:sub>
              <m:r>
                <m:t>C</m:t>
              </m:r>
            </m:sub>
          </m:sSub>
          <m:r>
            <m:rPr>
              <m:sty m:val="p"/>
            </m:rPr>
            <m:t>)</m:t>
          </m:r>
          <m:r>
            <m:rPr>
              <m:sty m:val="p"/>
            </m:rPr>
            <m:t>+</m:t>
          </m:r>
          <m:f>
            <m:fPr>
              <m:type m:val="bar"/>
            </m:fPr>
            <m:num>
              <m:r>
                <m:t>1</m:t>
              </m:r>
            </m:num>
            <m:den>
              <m:r>
                <m:t>2</m:t>
              </m:r>
            </m:den>
          </m:f>
          <m:d>
            <m:dPr>
              <m:begChr m:val="("/>
              <m:sepChr m:val=""/>
              <m:endChr m:val=")"/>
              <m:grow/>
            </m:dPr>
            <m:e>
              <m:f>
                <m:fPr>
                  <m:type m:val="bar"/>
                </m:fPr>
                <m:num>
                  <m:r>
                    <m:t>1</m:t>
                  </m:r>
                </m:num>
                <m:den>
                  <m:sSub>
                    <m:e>
                      <m:r>
                        <m:t>N</m:t>
                      </m:r>
                    </m:e>
                    <m:sub>
                      <m:r>
                        <m:t>T</m:t>
                      </m:r>
                    </m:sub>
                  </m:sSub>
                  <m:r>
                    <m:rPr>
                      <m:sty m:val="p"/>
                    </m:rPr>
                    <m:t>−</m:t>
                  </m:r>
                  <m:r>
                    <m:t>1</m:t>
                  </m:r>
                </m:den>
              </m:f>
              <m:r>
                <m:rPr>
                  <m:sty m:val="p"/>
                </m:rPr>
                <m:t>−</m:t>
              </m:r>
              <m:f>
                <m:fPr>
                  <m:type m:val="bar"/>
                </m:fPr>
                <m:num>
                  <m:r>
                    <m:t>1</m:t>
                  </m:r>
                </m:num>
                <m:den>
                  <m:sSub>
                    <m:e>
                      <m:r>
                        <m:t>N</m:t>
                      </m:r>
                    </m:e>
                    <m:sub>
                      <m:r>
                        <m:t>C</m:t>
                      </m:r>
                    </m:sub>
                  </m:sSub>
                  <m:r>
                    <m:rPr>
                      <m:sty m:val="p"/>
                    </m:rPr>
                    <m:t>−</m:t>
                  </m:r>
                  <m:r>
                    <m:t>1</m:t>
                  </m:r>
                </m:den>
              </m:f>
            </m:e>
          </m:d>
          <m:r>
            <m:rPr>
              <m:sty m:val="p"/>
            </m:rPr>
            <m:t>.</m:t>
          </m:r>
        </m:oMath>
      </m:oMathPara>
    </w:p>
    <w:p>
      <w:pPr>
        <w:pStyle w:val="FirstParagraph"/>
        <w:widowControl/>
      </w:pPr>
      <w:r>
        <w:rPr>
          <w:rFonts w:ascii="Times New Roman" w:hAnsi="Times New Roman"/>
          <w:color w:val="000000"/>
        </w:rPr>
        <w:t xml:space="preserve">Positive lnVR values represent greater variability in exposed offspring. We did not reverse lnVR because a standard deviation has no beneficial or adverse behavioural direction. We calculated lnCVR as a supplementary measure of variability relative to the mean.</w:t>
      </w:r>
    </w:p>
    <w:p>
      <w:pPr>
        <w:pStyle w:val="BodyText"/>
        <w:widowControl/>
      </w:pPr>
      <w:r>
        <w:rPr>
          <w:rFonts w:ascii="Times New Roman" w:hAnsi="Times New Roman"/>
          <w:color w:val="000000"/>
        </w:rPr>
        <w:t xml:space="preserve">We applied an arcsine-square-root transformation before calculating lnRR for percentage outcomes. We did not calculate lnVR or lnCVR for percentage outcomes because their bounded scale creates a mechanical relationship between the mean and variance. For non-percentage outcomes, we replaced a zero mean with 0.9 times the smallest positive mean in the same assay, measurement, data-type, and unit stratum. We replaced a zero standard deviation with the smallest positive standard deviation in the same arm and outcome stratum. For percentage outcomes, we replaced boundary means of 0% and 100% with 0.5% and 99.5%, respectively. We tested the influence of the two effect sizes that required both a control-mean and control-SD correction in a sensitivity analysis.</w:t>
      </w:r>
    </w:p>
    <w:p>
      <w:pPr>
        <w:pStyle w:val="BodyText"/>
        <w:widowControl/>
      </w:pPr>
      <w:r>
        <w:rPr>
          <w:rFonts w:ascii="Times New Roman" w:hAnsi="Times New Roman"/>
          <w:color w:val="000000"/>
        </w:rPr>
        <w:t xml:space="preserve">For independent-group comparisons, we calculated lnRR, lnVR, and lnCVR with</w:t>
      </w:r>
      <w:r>
        <w:rPr>
          <w:rFonts w:ascii="Times New Roman" w:hAnsi="Times New Roman"/>
          <w:color w:val="000000"/>
        </w:rPr>
        <w:t xml:space="preserve"> </w:t>
      </w:r>
      <w:r>
        <w:rPr>
          <w:rStyle w:val="VerbatimChar"/>
          <w:rFonts w:ascii="Times New Roman" w:hAnsi="Times New Roman"/>
          <w:color w:val="000000"/>
        </w:rPr>
        <w:t xml:space="preserve">ROM</w:t>
      </w:r>
      <w:r>
        <w:rPr>
          <w:rFonts w:ascii="Times New Roman" w:hAnsi="Times New Roman"/>
          <w:color w:val="000000"/>
        </w:rPr>
        <w:t xml:space="preserve">,</w:t>
      </w:r>
      <w:r>
        <w:rPr>
          <w:rFonts w:ascii="Times New Roman" w:hAnsi="Times New Roman"/>
          <w:color w:val="000000"/>
        </w:rPr>
        <w:t xml:space="preserve"> </w:t>
      </w:r>
      <w:r>
        <w:rPr>
          <w:rStyle w:val="VerbatimChar"/>
          <w:rFonts w:ascii="Times New Roman" w:hAnsi="Times New Roman"/>
          <w:color w:val="000000"/>
        </w:rPr>
        <w:t xml:space="preserve">VR</w:t>
      </w:r>
      <w:r>
        <w:rPr>
          <w:rFonts w:ascii="Times New Roman" w:hAnsi="Times New Roman"/>
          <w:color w:val="000000"/>
        </w:rPr>
        <w:t xml:space="preserve">, and</w:t>
      </w:r>
      <w:r>
        <w:rPr>
          <w:rFonts w:ascii="Times New Roman" w:hAnsi="Times New Roman"/>
          <w:color w:val="000000"/>
        </w:rPr>
        <w:t xml:space="preserve"> </w:t>
      </w:r>
      <w:r>
        <w:rPr>
          <w:rStyle w:val="VerbatimChar"/>
          <w:rFonts w:ascii="Times New Roman" w:hAnsi="Times New Roman"/>
          <w:color w:val="000000"/>
        </w:rPr>
        <w:t xml:space="preserve">CVR</w:t>
      </w:r>
      <w:r>
        <w:rPr>
          <w:rFonts w:ascii="Times New Roman" w:hAnsi="Times New Roman"/>
          <w:color w:val="000000"/>
        </w:rPr>
        <w:t xml:space="preserve"> </w:t>
      </w:r>
      <w:r>
        <w:rPr>
          <w:rFonts w:ascii="Times New Roman" w:hAnsi="Times New Roman"/>
          <w:color w:val="000000"/>
        </w:rPr>
        <w:t xml:space="preserve">in</w:t>
      </w:r>
      <w:r>
        <w:rPr>
          <w:rFonts w:ascii="Times New Roman" w:hAnsi="Times New Roman"/>
          <w:color w:val="000000"/>
        </w:rPr>
        <w:t xml:space="preserve"> </w:t>
      </w:r>
      <w:r>
        <w:rPr>
          <w:rStyle w:val="VerbatimChar"/>
          <w:rFonts w:ascii="Times New Roman" w:hAnsi="Times New Roman"/>
          <w:color w:val="000000"/>
        </w:rPr>
        <w:t xml:space="preserve">metafor::escalc()</w:t>
      </w:r>
      <w:r>
        <w:rPr>
          <w:rFonts w:ascii="Times New Roman" w:hAnsi="Times New Roman"/>
          <w:color w:val="000000"/>
        </w:rPr>
        <w:t xml:space="preserve">. For dependent comparisons, we used</w:t>
      </w:r>
      <w:r>
        <w:rPr>
          <w:rFonts w:ascii="Times New Roman" w:hAnsi="Times New Roman"/>
          <w:color w:val="000000"/>
        </w:rPr>
        <w:t xml:space="preserve"> </w:t>
      </w:r>
      <w:r>
        <w:rPr>
          <w:rStyle w:val="VerbatimChar"/>
          <w:rFonts w:ascii="Times New Roman" w:hAnsi="Times New Roman"/>
          <w:color w:val="000000"/>
        </w:rPr>
        <w:t xml:space="preserve">ROMC</w:t>
      </w:r>
      <w:r>
        <w:rPr>
          <w:rFonts w:ascii="Times New Roman" w:hAnsi="Times New Roman"/>
          <w:color w:val="000000"/>
        </w:rPr>
        <w:t xml:space="preserve">,</w:t>
      </w:r>
      <w:r>
        <w:rPr>
          <w:rFonts w:ascii="Times New Roman" w:hAnsi="Times New Roman"/>
          <w:color w:val="000000"/>
        </w:rPr>
        <w:t xml:space="preserve"> </w:t>
      </w:r>
      <w:r>
        <w:rPr>
          <w:rStyle w:val="VerbatimChar"/>
          <w:rFonts w:ascii="Times New Roman" w:hAnsi="Times New Roman"/>
          <w:color w:val="000000"/>
        </w:rPr>
        <w:t xml:space="preserve">VRC</w:t>
      </w:r>
      <w:r>
        <w:rPr>
          <w:rFonts w:ascii="Times New Roman" w:hAnsi="Times New Roman"/>
          <w:color w:val="000000"/>
        </w:rPr>
        <w:t xml:space="preserve">, and</w:t>
      </w:r>
      <w:r>
        <w:rPr>
          <w:rFonts w:ascii="Times New Roman" w:hAnsi="Times New Roman"/>
          <w:color w:val="000000"/>
        </w:rPr>
        <w:t xml:space="preserve"> </w:t>
      </w:r>
      <w:r>
        <w:rPr>
          <w:rStyle w:val="VerbatimChar"/>
          <w:rFonts w:ascii="Times New Roman" w:hAnsi="Times New Roman"/>
          <w:color w:val="000000"/>
        </w:rPr>
        <w:t xml:space="preserve">CVRC</w:t>
      </w:r>
      <w:r>
        <w:rPr>
          <w:rFonts w:ascii="Times New Roman" w:hAnsi="Times New Roman"/>
          <w:color w:val="000000"/>
        </w:rPr>
        <w:t xml:space="preserve"> </w:t>
      </w:r>
      <w:r>
        <w:rPr>
          <w:rFonts w:ascii="Times New Roman" w:hAnsi="Times New Roman"/>
          <w:color w:val="000000"/>
        </w:rPr>
        <w:t xml:space="preserve">and assumed a within-subject correlation of 0.5.</w:t>
      </w:r>
    </w:p>
    <w:bookmarkEnd w:id="44"/>
    <w:bookmarkStart w:id="45" w:name="X8eaa28563dde7e6ef194984a7812ef8a53caa6b"/>
    <w:p>
      <w:pPr>
        <w:pStyle w:val="Heading2"/>
        <w:widowControl/>
      </w:pPr>
      <w:r>
        <w:rPr>
          <w:rFonts w:ascii="Times New Roman" w:hAnsi="Times New Roman"/>
          <w:color w:val="000000"/>
        </w:rPr>
        <w:t xml:space="preserve">Sampling dependence and meta-analytic models</w:t>
      </w:r>
    </w:p>
    <w:p>
      <w:pPr>
        <w:pStyle w:val="FirstParagraph"/>
        <w:widowControl/>
      </w:pPr>
      <w:r>
        <w:rPr>
          <w:rFonts w:ascii="Times New Roman" w:hAnsi="Times New Roman"/>
          <w:color w:val="000000"/>
        </w:rPr>
        <w:t xml:space="preserve">We constructed a sampling variance-covariance matrix for each effect-size metric with</w:t>
      </w:r>
      <w:r>
        <w:rPr>
          <w:rFonts w:ascii="Times New Roman" w:hAnsi="Times New Roman"/>
          <w:color w:val="000000"/>
        </w:rPr>
        <w:t xml:space="preserve"> </w:t>
      </w:r>
      <w:r>
        <w:rPr>
          <w:rStyle w:val="VerbatimChar"/>
          <w:rFonts w:ascii="Times New Roman" w:hAnsi="Times New Roman"/>
          <w:color w:val="000000"/>
        </w:rPr>
        <w:t xml:space="preserve">metafor::vcalc()</w:t>
      </w:r>
      <w:r>
        <w:rPr>
          <w:rFonts w:ascii="Times New Roman" w:hAnsi="Times New Roman"/>
          <w:color w:val="000000"/>
        </w:rPr>
        <w:t xml:space="preserve">. We used study as the cluster, exposed- and control-group identifiers to identify shared groups, and group sample sizes as weights. We assumed a working correlation of ρ = 0.5 for multiple or repeated outcomes that shared an exposed or control group and assigned zero sampling covariance when effect sizes shared neither group.</w:t>
      </w:r>
    </w:p>
    <w:p>
      <w:pPr>
        <w:pStyle w:val="BodyText"/>
        <w:widowControl/>
      </w:pPr>
      <w:r>
        <w:rPr>
          <w:rFonts w:ascii="Times New Roman" w:hAnsi="Times New Roman"/>
          <w:color w:val="000000"/>
        </w:rPr>
        <w:t xml:space="preserve">We fitted separate multilevel intercept-only models for lnRR and lnVR with restricted maximum likelihood. Each model included random intercepts for study, effect-size identifier, and strain. We used t-based tests and 95% confidence intervals. We quantified total heterogeneity and its study-, effect-size-, and strain-level components with multilevel I². We present prediction intervals in the orchard plots [VERIFY that final figures include and label prediction intervals].</w:t>
      </w:r>
    </w:p>
    <w:bookmarkEnd w:id="45"/>
    <w:bookmarkStart w:id="46" w:name="moderator-analyses"/>
    <w:p>
      <w:pPr>
        <w:pStyle w:val="Heading2"/>
        <w:widowControl/>
      </w:pPr>
      <w:r>
        <w:rPr>
          <w:rFonts w:ascii="Times New Roman" w:hAnsi="Times New Roman"/>
          <w:color w:val="000000"/>
        </w:rPr>
        <w:t xml:space="preserve">Moderator analyses</w:t>
      </w:r>
    </w:p>
    <w:p>
      <w:pPr>
        <w:pStyle w:val="FirstParagraph"/>
        <w:widowControl/>
      </w:pPr>
      <w:r>
        <w:rPr>
          <w:rFonts w:ascii="Times New Roman" w:hAnsi="Times New Roman"/>
          <w:color w:val="000000"/>
        </w:rPr>
        <w:t xml:space="preserve">We fitted one uni-moderator model at a time with the same variance-covariance matrix and random-effects structure as the corresponding overall model. Prespecified moderator concepts were offspring sex, offspring age in days, gestational timing (extracted as</w:t>
      </w:r>
      <w:r>
        <w:rPr>
          <w:rFonts w:ascii="Times New Roman" w:hAnsi="Times New Roman"/>
          <w:color w:val="000000"/>
        </w:rPr>
        <w:t xml:space="preserve"> </w:t>
      </w:r>
      <w:r>
        <w:rPr>
          <w:rStyle w:val="VerbatimChar"/>
          <w:rFonts w:ascii="Times New Roman" w:hAnsi="Times New Roman"/>
          <w:color w:val="000000"/>
        </w:rPr>
        <w:t xml:space="preserve">gest_stage_ex</w:t>
      </w:r>
      <w:r>
        <w:rPr>
          <w:rFonts w:ascii="Times New Roman" w:hAnsi="Times New Roman"/>
          <w:color w:val="000000"/>
        </w:rPr>
        <w:t xml:space="preserve"> </w:t>
      </w:r>
      <w:r>
        <w:rPr>
          <w:rFonts w:ascii="Times New Roman" w:hAnsi="Times New Roman"/>
          <w:color w:val="000000"/>
        </w:rPr>
        <w:t xml:space="preserve">and analysed using</w:t>
      </w:r>
      <w:r>
        <w:rPr>
          <w:rFonts w:ascii="Times New Roman" w:hAnsi="Times New Roman"/>
          <w:color w:val="000000"/>
        </w:rPr>
        <w:t xml:space="preserve"> </w:t>
      </w:r>
      <w:r>
        <w:rPr>
          <w:rStyle w:val="VerbatimChar"/>
          <w:rFonts w:ascii="Times New Roman" w:hAnsi="Times New Roman"/>
          <w:color w:val="000000"/>
        </w:rPr>
        <w:t xml:space="preserve">gest_stage_ex_standardised</w:t>
      </w:r>
      <w:r>
        <w:rPr>
          <w:rFonts w:ascii="Times New Roman" w:hAnsi="Times New Roman"/>
          <w:color w:val="000000"/>
        </w:rPr>
        <w:t xml:space="preserve">), exposure duration in days, acoustic frequency range, loudness in unweighted dB, outcome type, and behavioural assay. We excluded the</w:t>
      </w:r>
      <w:r>
        <w:rPr>
          <w:rFonts w:ascii="Times New Roman" w:hAnsi="Times New Roman"/>
          <w:color w:val="000000"/>
        </w:rPr>
        <w:t xml:space="preserve"> </w:t>
      </w:r>
      <w:r>
        <w:rPr>
          <w:rStyle w:val="VerbatimChar"/>
          <w:rFonts w:ascii="Times New Roman" w:hAnsi="Times New Roman"/>
          <w:color w:val="000000"/>
        </w:rPr>
        <w:t xml:space="preserve">Unclear</w:t>
      </w:r>
      <w:r>
        <w:rPr>
          <w:rFonts w:ascii="Times New Roman" w:hAnsi="Times New Roman"/>
          <w:color w:val="000000"/>
        </w:rPr>
        <w:t xml:space="preserve"> </w:t>
      </w:r>
      <w:r>
        <w:rPr>
          <w:rFonts w:ascii="Times New Roman" w:hAnsi="Times New Roman"/>
          <w:color w:val="000000"/>
        </w:rPr>
        <w:t xml:space="preserve">frequency-range category and excluded categorical levels represented by fewer than five effect sizes. The loudness model excluded the dBA value from Barzegar et al. because A-weighted and unweighted decibels are not directly comparable. We fitted exposure type and control conditions as added exploratory moderators.</w:t>
      </w:r>
    </w:p>
    <w:p>
      <w:pPr>
        <w:pStyle w:val="BodyText"/>
        <w:widowControl/>
      </w:pPr>
      <w:r>
        <w:rPr>
          <w:rFonts w:ascii="Times New Roman" w:hAnsi="Times New Roman"/>
          <w:color w:val="000000"/>
        </w:rPr>
        <w:t xml:space="preserve">For each model, we report the coefficient estimates, 95% confidence intervals, omnibus moderator test, marginal R², conditional R²,</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and number of studies per level. For categorical variables with at least three retained levels, we calculated unadjusted pairwise contrasts defined by a Tukey contrast matrix. We did not adjust these exploratory contrasts for multiple comparisons; therefore, we interpret them cautiously and do not use p-values alone to select results for presentation.</w:t>
      </w:r>
    </w:p>
    <w:p>
      <w:pPr>
        <w:pStyle w:val="BodyText"/>
        <w:widowControl/>
      </w:pPr>
      <w:r>
        <w:rPr>
          <w:rFonts w:ascii="Times New Roman" w:hAnsi="Times New Roman"/>
          <w:color w:val="000000"/>
        </w:rPr>
        <w:t xml:space="preserve">The current computational rule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 5 effect sizes per category) is an effect-size availability rule, not an independent-replication rule. We will therefore retain the implemented rule unless we formally revise it, but we will also report the number of contributing studies for every level. We will mark levels represented by fewer than three studies as sparsely replicated, avoid strong level-specific conclusions, and consider placing their pairwise contrasts in the supplementary tables. This reporting rule does not hide or remove results.</w:t>
      </w:r>
    </w:p>
    <w:bookmarkEnd w:id="46"/>
    <w:bookmarkStart w:id="47" w:name="X8760e1f2725c4095f00352b895c7b17ed24d192"/>
    <w:p>
      <w:pPr>
        <w:pStyle w:val="Heading2"/>
        <w:widowControl/>
      </w:pPr>
      <w:r>
        <w:rPr>
          <w:rFonts w:ascii="Times New Roman" w:hAnsi="Times New Roman"/>
          <w:color w:val="000000"/>
        </w:rPr>
        <w:t xml:space="preserve">Small-study effects and sensitivity analyses</w:t>
      </w:r>
    </w:p>
    <w:p>
      <w:pPr>
        <w:pStyle w:val="FirstParagraph"/>
        <w:widowControl/>
      </w:pPr>
      <w:r>
        <w:rPr>
          <w:rFonts w:ascii="Times New Roman" w:hAnsi="Times New Roman"/>
          <w:color w:val="000000"/>
        </w:rPr>
        <w:t xml:space="preserve">We inspected a funnel plot of lnRR against inverse standard error. Because lnRR and its sampling variance are mathematically linked, we tested small-study patterns with an N-based precision term, √(1/N_T + 1/N_C), rather than the standard error. We fitted this term as a moderator in the multilevel model. We also fitted mean-centred publication year and the N-based precision term together to evaluate a time-lag pattern while accounting for effective sample size. We treated both diagnostics as exploratory because the effect sizes were heterogeneous and dependent.</w:t>
      </w:r>
    </w:p>
    <w:p>
      <w:pPr>
        <w:pStyle w:val="BodyText"/>
        <w:widowControl/>
      </w:pPr>
      <w:r>
        <w:rPr>
          <w:rFonts w:ascii="Times New Roman" w:hAnsi="Times New Roman"/>
          <w:color w:val="000000"/>
        </w:rPr>
        <w:t xml:space="preserve">We removed each study in turn, reconstructed the sampling variance-covariance matrix, and refitted the overall lnRR model. Four studies from the Abramova laboratory contributed 98 of 187 lnRR effect sizes, so we also excluded these studies together and refitted the model. Finally, we excluded the two exact-zero-corrected effect sizes and refitted the model.</w:t>
      </w:r>
    </w:p>
    <w:bookmarkEnd w:id="47"/>
    <w:bookmarkStart w:id="48" w:name="critical-appraisal"/>
    <w:p>
      <w:pPr>
        <w:pStyle w:val="Heading2"/>
        <w:widowControl/>
      </w:pPr>
      <w:r>
        <w:rPr>
          <w:rFonts w:ascii="Times New Roman" w:hAnsi="Times New Roman"/>
          <w:color w:val="000000"/>
        </w:rPr>
        <w:t xml:space="preserve">Critical appraisal</w:t>
      </w:r>
    </w:p>
    <w:p>
      <w:pPr>
        <w:pStyle w:val="FirstParagraph"/>
        <w:widowControl/>
      </w:pPr>
      <w:r>
        <w:rPr>
          <w:rFonts w:ascii="Times New Roman" w:hAnsi="Times New Roman"/>
          <w:color w:val="000000"/>
        </w:rPr>
        <w:t xml:space="preserve">We adapted CRIME-Q to appraise quality of reporting, methodological quality, and risk of bias in whole-animal behavioural experiments. The final codebook contained 21 items with prespecified response categories (</w:t>
      </w:r>
      <w:r>
        <w:rPr>
          <w:rStyle w:val="VerbatimChar"/>
          <w:rFonts w:ascii="Times New Roman" w:hAnsi="Times New Roman"/>
          <w:color w:val="000000"/>
        </w:rPr>
        <w:t xml:space="preserve">Yes</w:t>
      </w:r>
      <w:r>
        <w:rPr>
          <w:rFonts w:ascii="Times New Roman" w:hAnsi="Times New Roman"/>
          <w:color w:val="000000"/>
        </w:rPr>
        <w:t xml:space="preserve">,</w:t>
      </w:r>
      <w:r>
        <w:rPr>
          <w:rFonts w:ascii="Times New Roman" w:hAnsi="Times New Roman"/>
          <w:color w:val="000000"/>
        </w:rPr>
        <w:t xml:space="preserve"> </w:t>
      </w:r>
      <w:r>
        <w:rPr>
          <w:rStyle w:val="VerbatimChar"/>
          <w:rFonts w:ascii="Times New Roman" w:hAnsi="Times New Roman"/>
          <w:color w:val="000000"/>
        </w:rPr>
        <w:t xml:space="preserve">Partly</w:t>
      </w:r>
      <w:r>
        <w:rPr>
          <w:rFonts w:ascii="Times New Roman" w:hAnsi="Times New Roman"/>
          <w:color w:val="000000"/>
        </w:rPr>
        <w:t xml:space="preserve">,</w:t>
      </w:r>
      <w:r>
        <w:rPr>
          <w:rFonts w:ascii="Times New Roman" w:hAnsi="Times New Roman"/>
          <w:color w:val="000000"/>
        </w:rPr>
        <w:t xml:space="preserve"> </w:t>
      </w:r>
      <w:r>
        <w:rPr>
          <w:rStyle w:val="VerbatimChar"/>
          <w:rFonts w:ascii="Times New Roman" w:hAnsi="Times New Roman"/>
          <w:color w:val="000000"/>
        </w:rPr>
        <w:t xml:space="preserve">No</w:t>
      </w:r>
      <w:r>
        <w:rPr>
          <w:rFonts w:ascii="Times New Roman" w:hAnsi="Times New Roman"/>
          <w:color w:val="000000"/>
        </w:rPr>
        <w:t xml:space="preserve">,</w:t>
      </w:r>
      <w:r>
        <w:rPr>
          <w:rFonts w:ascii="Times New Roman" w:hAnsi="Times New Roman"/>
          <w:color w:val="000000"/>
        </w:rPr>
        <w:t xml:space="preserve"> </w:t>
      </w:r>
      <w:r>
        <w:rPr>
          <w:rStyle w:val="VerbatimChar"/>
          <w:rFonts w:ascii="Times New Roman" w:hAnsi="Times New Roman"/>
          <w:color w:val="000000"/>
        </w:rPr>
        <w:t xml:space="preserve">Unclear</w:t>
      </w:r>
      <w:r>
        <w:rPr>
          <w:rFonts w:ascii="Times New Roman" w:hAnsi="Times New Roman"/>
          <w:color w:val="000000"/>
        </w:rPr>
        <w:t xml:space="preserve">, or</w:t>
      </w:r>
      <w:r>
        <w:rPr>
          <w:rFonts w:ascii="Times New Roman" w:hAnsi="Times New Roman"/>
          <w:color w:val="000000"/>
        </w:rPr>
        <w:t xml:space="preserve"> </w:t>
      </w:r>
      <w:r>
        <w:rPr>
          <w:rStyle w:val="VerbatimChar"/>
          <w:rFonts w:ascii="Times New Roman" w:hAnsi="Times New Roman"/>
          <w:color w:val="000000"/>
        </w:rPr>
        <w:t xml:space="preserve">Not applicable</w:t>
      </w:r>
      <w:r>
        <w:rPr>
          <w:rFonts w:ascii="Times New Roman" w:hAnsi="Times New Roman"/>
          <w:color w:val="000000"/>
        </w:rPr>
        <w:t xml:space="preserve">, as allowed for each item). We retained item-level ratings and did not calculate a composite score. [ADD who completed the first appraisal, who independently checked each study, how disagreements were resolved, Cohen’s kappa and item-level disagreement rates if these planned steps were completed. Do not claim two-person independent appraisal until confirmed.] We display the final item-by-study ratings as a coloured grid.</w:t>
      </w:r>
    </w:p>
    <w:bookmarkEnd w:id="48"/>
    <w:bookmarkStart w:id="49" w:name="software-and-reproducibility"/>
    <w:p>
      <w:pPr>
        <w:pStyle w:val="Heading2"/>
        <w:widowControl/>
      </w:pPr>
      <w:r>
        <w:rPr>
          <w:rFonts w:ascii="Times New Roman" w:hAnsi="Times New Roman"/>
          <w:color w:val="000000"/>
        </w:rPr>
        <w:t xml:space="preserve">Software and reproducibility</w:t>
      </w:r>
    </w:p>
    <w:p>
      <w:pPr>
        <w:pStyle w:val="FirstParagraph"/>
        <w:widowControl/>
      </w:pPr>
      <w:r>
        <w:rPr>
          <w:rFonts w:ascii="Times New Roman" w:hAnsi="Times New Roman"/>
          <w:color w:val="000000"/>
        </w:rPr>
        <w:t xml:space="preserve">We conducted data processing, analysis, and visualization in R. The current rendered book used R 4.5.1,</w:t>
      </w:r>
      <w:r>
        <w:rPr>
          <w:rFonts w:ascii="Times New Roman" w:hAnsi="Times New Roman"/>
          <w:color w:val="000000"/>
        </w:rPr>
        <w:t xml:space="preserve"> </w:t>
      </w:r>
      <w:r>
        <w:rPr>
          <w:rStyle w:val="VerbatimChar"/>
          <w:rFonts w:ascii="Times New Roman" w:hAnsi="Times New Roman"/>
          <w:color w:val="000000"/>
        </w:rPr>
        <w:t xml:space="preserve">metafor</w:t>
      </w:r>
      <w:r>
        <w:rPr>
          <w:rFonts w:ascii="Times New Roman" w:hAnsi="Times New Roman"/>
          <w:color w:val="000000"/>
        </w:rPr>
        <w:t xml:space="preserve"> </w:t>
      </w:r>
      <w:r>
        <w:rPr>
          <w:rFonts w:ascii="Times New Roman" w:hAnsi="Times New Roman"/>
          <w:color w:val="000000"/>
        </w:rPr>
        <w:t xml:space="preserve">5.0-1,</w:t>
      </w:r>
      <w:r>
        <w:rPr>
          <w:rFonts w:ascii="Times New Roman" w:hAnsi="Times New Roman"/>
          <w:color w:val="000000"/>
        </w:rPr>
        <w:t xml:space="preserve"> </w:t>
      </w:r>
      <w:r>
        <w:rPr>
          <w:rStyle w:val="VerbatimChar"/>
          <w:rFonts w:ascii="Times New Roman" w:hAnsi="Times New Roman"/>
          <w:color w:val="000000"/>
        </w:rPr>
        <w:t xml:space="preserve">orchaRd</w:t>
      </w:r>
      <w:r>
        <w:rPr>
          <w:rFonts w:ascii="Times New Roman" w:hAnsi="Times New Roman"/>
          <w:color w:val="000000"/>
        </w:rPr>
        <w:t xml:space="preserve"> </w:t>
      </w:r>
      <w:r>
        <w:rPr>
          <w:rFonts w:ascii="Times New Roman" w:hAnsi="Times New Roman"/>
          <w:color w:val="000000"/>
        </w:rPr>
        <w:t xml:space="preserve">2.2.1,</w:t>
      </w:r>
      <w:r>
        <w:rPr>
          <w:rFonts w:ascii="Times New Roman" w:hAnsi="Times New Roman"/>
          <w:color w:val="000000"/>
        </w:rPr>
        <w:t xml:space="preserve"> </w:t>
      </w:r>
      <w:r>
        <w:rPr>
          <w:rStyle w:val="VerbatimChar"/>
          <w:rFonts w:ascii="Times New Roman" w:hAnsi="Times New Roman"/>
          <w:color w:val="000000"/>
        </w:rPr>
        <w:t xml:space="preserve">ggplot2</w:t>
      </w:r>
      <w:r>
        <w:rPr>
          <w:rFonts w:ascii="Times New Roman" w:hAnsi="Times New Roman"/>
          <w:color w:val="000000"/>
        </w:rPr>
        <w:t xml:space="preserve"> </w:t>
      </w:r>
      <w:r>
        <w:rPr>
          <w:rFonts w:ascii="Times New Roman" w:hAnsi="Times New Roman"/>
          <w:color w:val="000000"/>
        </w:rPr>
        <w:t xml:space="preserve">4.0.3,</w:t>
      </w:r>
      <w:r>
        <w:rPr>
          <w:rFonts w:ascii="Times New Roman" w:hAnsi="Times New Roman"/>
          <w:color w:val="000000"/>
        </w:rPr>
        <w:t xml:space="preserve"> </w:t>
      </w:r>
      <w:r>
        <w:rPr>
          <w:rStyle w:val="VerbatimChar"/>
          <w:rFonts w:ascii="Times New Roman" w:hAnsi="Times New Roman"/>
          <w:color w:val="000000"/>
        </w:rPr>
        <w:t xml:space="preserve">multcomp</w:t>
      </w:r>
      <w:r>
        <w:rPr>
          <w:rFonts w:ascii="Times New Roman" w:hAnsi="Times New Roman"/>
          <w:color w:val="000000"/>
        </w:rPr>
        <w:t xml:space="preserve"> </w:t>
      </w:r>
      <w:r>
        <w:rPr>
          <w:rFonts w:ascii="Times New Roman" w:hAnsi="Times New Roman"/>
          <w:color w:val="000000"/>
        </w:rPr>
        <w:t xml:space="preserve">1.4-31, and associated tidyverse packages. [Update these versions from the final session information at submission.] The data, code, model summaries, and complete moderator outputs will be available at [ADD repository and archived release/DOI].</w:t>
      </w:r>
    </w:p>
    <w:bookmarkEnd w:id="49"/>
    <w:bookmarkEnd w:id="50"/>
    <w:bookmarkStart w:id="59" w:name="main-figure-plan"/>
    <w:p>
      <w:pPr>
        <w:pStyle w:val="Heading1"/>
        <w:widowControl/>
      </w:pPr>
      <w:r>
        <w:rPr>
          <w:rFonts w:ascii="Times New Roman" w:hAnsi="Times New Roman"/>
          <w:color w:val="000000"/>
        </w:rPr>
        <w:t xml:space="preserve">Main-figure plan</w:t>
      </w:r>
    </w:p>
    <w:p>
      <w:pPr>
        <w:pStyle w:val="FirstParagraph"/>
        <w:widowControl/>
      </w:pPr>
      <w:r>
        <w:rPr>
          <w:rFonts w:ascii="Times New Roman" w:hAnsi="Times New Roman"/>
          <w:color w:val="000000"/>
        </w:rPr>
        <w:t xml:space="preserve">Renumber consecutively. The current list skips Figure 6; the clean sequence below uses Figures 1-8.</w:t>
      </w:r>
    </w:p>
    <w:bookmarkStart w:id="51" w:name="figure-1-study-and-exposure-coverage"/>
    <w:p>
      <w:pPr>
        <w:pStyle w:val="Heading2"/>
        <w:widowControl/>
      </w:pPr>
      <w:r>
        <w:rPr>
          <w:rFonts w:ascii="Times New Roman" w:hAnsi="Times New Roman"/>
          <w:color w:val="000000"/>
        </w:rPr>
        <w:t xml:space="preserve">Figure 1 — Study and exposure coverage</w:t>
      </w:r>
    </w:p>
    <w:p>
      <w:pPr>
        <w:pStyle w:val="Compact"/>
        <w:widowControl/>
        <w:numPr>
          <w:ilvl w:val="0"/>
          <w:numId w:val="1024"/>
        </w:numPr>
      </w:pPr>
      <w:r>
        <w:rPr>
          <w:rFonts w:ascii="Times New Roman" w:hAnsi="Times New Roman"/>
          <w:b/>
          <w:bCs/>
          <w:color w:val="000000"/>
        </w:rPr>
        <w:t xml:space="preserve">Panel A: Study subjects.</w:t>
      </w:r>
      <w:r>
        <w:rPr>
          <w:rFonts w:ascii="Times New Roman" w:hAnsi="Times New Roman"/>
          <w:color w:val="000000"/>
        </w:rPr>
        <w:t xml:space="preserve"> </w:t>
      </w:r>
      <w:r>
        <w:rPr>
          <w:rFonts w:ascii="Times New Roman" w:hAnsi="Times New Roman"/>
          <w:color w:val="000000"/>
        </w:rPr>
        <w:t xml:space="preserve">Study-level alluvial plot: outcome coverage → species → strain; ribbon colour = sex coverage.</w:t>
      </w:r>
    </w:p>
    <w:p>
      <w:pPr>
        <w:pStyle w:val="Compact"/>
        <w:widowControl/>
        <w:numPr>
          <w:ilvl w:val="0"/>
          <w:numId w:val="1024"/>
        </w:numPr>
      </w:pPr>
      <w:r>
        <w:rPr>
          <w:rFonts w:ascii="Times New Roman" w:hAnsi="Times New Roman"/>
          <w:b/>
          <w:bCs/>
          <w:color w:val="000000"/>
        </w:rPr>
        <w:t xml:space="preserve">Panel B: Noise exposure.</w:t>
      </w:r>
      <w:r>
        <w:rPr>
          <w:rFonts w:ascii="Times New Roman" w:hAnsi="Times New Roman"/>
          <w:color w:val="000000"/>
        </w:rPr>
        <w:t xml:space="preserve"> </w:t>
      </w:r>
      <w:r>
        <w:rPr>
          <w:rFonts w:ascii="Times New Roman" w:hAnsi="Times New Roman"/>
          <w:color w:val="000000"/>
        </w:rPr>
        <w:t xml:space="preserve">Study-level alluvial plot: gestational-stage coverage → exposure type → author-reported noise type; ribbon colour = control condition.</w:t>
      </w:r>
    </w:p>
    <w:p>
      <w:pPr>
        <w:pStyle w:val="Compact"/>
        <w:widowControl/>
        <w:numPr>
          <w:ilvl w:val="0"/>
          <w:numId w:val="1024"/>
        </w:numPr>
      </w:pPr>
      <w:r>
        <w:rPr>
          <w:rFonts w:ascii="Times New Roman" w:hAnsi="Times New Roman"/>
          <w:color w:val="000000"/>
        </w:rPr>
        <w:t xml:space="preserve">Keep each study’s total width equal to one. Do not weight the alluvial plots by number of effect sizes.</w:t>
      </w:r>
    </w:p>
    <w:bookmarkEnd w:id="51"/>
    <w:bookmarkStart w:id="52" w:name="figure-2-overall-effects"/>
    <w:p>
      <w:pPr>
        <w:pStyle w:val="Heading2"/>
        <w:widowControl/>
      </w:pPr>
      <w:r>
        <w:rPr>
          <w:rFonts w:ascii="Times New Roman" w:hAnsi="Times New Roman"/>
          <w:color w:val="000000"/>
        </w:rPr>
        <w:t xml:space="preserve">Figure 2 — Overall effects</w:t>
      </w:r>
    </w:p>
    <w:p>
      <w:pPr>
        <w:pStyle w:val="Compact"/>
        <w:widowControl/>
        <w:numPr>
          <w:ilvl w:val="0"/>
          <w:numId w:val="1025"/>
        </w:numPr>
      </w:pPr>
      <w:r>
        <w:rPr>
          <w:rFonts w:ascii="Times New Roman" w:hAnsi="Times New Roman"/>
          <w:b/>
          <w:bCs/>
          <w:color w:val="000000"/>
        </w:rPr>
        <w:t xml:space="preserve">Panel A:</w:t>
      </w:r>
      <w:r>
        <w:rPr>
          <w:rFonts w:ascii="Times New Roman" w:hAnsi="Times New Roman"/>
          <w:color w:val="000000"/>
        </w:rPr>
        <w:t xml:space="preserve"> </w:t>
      </w:r>
      <w:r>
        <w:rPr>
          <w:rFonts w:ascii="Times New Roman" w:hAnsi="Times New Roman"/>
          <w:color w:val="000000"/>
        </w:rPr>
        <w:t xml:space="preserve">lnRR overall orchard plot,</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 187 (16 studies).</w:t>
      </w:r>
    </w:p>
    <w:p>
      <w:pPr>
        <w:pStyle w:val="Compact"/>
        <w:widowControl/>
        <w:numPr>
          <w:ilvl w:val="0"/>
          <w:numId w:val="1025"/>
        </w:numPr>
      </w:pPr>
      <w:r>
        <w:rPr>
          <w:rFonts w:ascii="Times New Roman" w:hAnsi="Times New Roman"/>
          <w:b/>
          <w:bCs/>
          <w:color w:val="000000"/>
        </w:rPr>
        <w:t xml:space="preserve">Panel B:</w:t>
      </w:r>
      <w:r>
        <w:rPr>
          <w:rFonts w:ascii="Times New Roman" w:hAnsi="Times New Roman"/>
          <w:color w:val="000000"/>
        </w:rPr>
        <w:t xml:space="preserve"> </w:t>
      </w:r>
      <w:r>
        <w:rPr>
          <w:rFonts w:ascii="Times New Roman" w:hAnsi="Times New Roman"/>
          <w:color w:val="000000"/>
        </w:rPr>
        <w:t xml:space="preserve">lnVR overall orchard plot,</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 175 (14 studies).</w:t>
      </w:r>
    </w:p>
    <w:p>
      <w:pPr>
        <w:pStyle w:val="Compact"/>
        <w:widowControl/>
        <w:numPr>
          <w:ilvl w:val="0"/>
          <w:numId w:val="1025"/>
        </w:numPr>
      </w:pPr>
      <w:r>
        <w:rPr>
          <w:rFonts w:ascii="Times New Roman" w:hAnsi="Times New Roman"/>
          <w:color w:val="000000"/>
        </w:rPr>
        <w:t xml:space="preserve">Use matched design, show 95% confidence and prediction intervals, and define direction on each axis.</w:t>
      </w:r>
    </w:p>
    <w:bookmarkEnd w:id="52"/>
    <w:bookmarkStart w:id="53" w:name="figure-3-outcome-type"/>
    <w:p>
      <w:pPr>
        <w:pStyle w:val="Heading2"/>
        <w:widowControl/>
      </w:pPr>
      <w:r>
        <w:rPr>
          <w:rFonts w:ascii="Times New Roman" w:hAnsi="Times New Roman"/>
          <w:color w:val="000000"/>
        </w:rPr>
        <w:t xml:space="preserve">Figure 3 — Outcome type</w:t>
      </w:r>
    </w:p>
    <w:p>
      <w:pPr>
        <w:pStyle w:val="Compact"/>
        <w:widowControl/>
        <w:numPr>
          <w:ilvl w:val="0"/>
          <w:numId w:val="1026"/>
        </w:numPr>
      </w:pPr>
      <w:r>
        <w:rPr>
          <w:rFonts w:ascii="Times New Roman" w:hAnsi="Times New Roman"/>
          <w:b/>
          <w:bCs/>
          <w:color w:val="000000"/>
        </w:rPr>
        <w:t xml:space="preserve">Panel A:</w:t>
      </w:r>
      <w:r>
        <w:rPr>
          <w:rFonts w:ascii="Times New Roman" w:hAnsi="Times New Roman"/>
          <w:color w:val="000000"/>
        </w:rPr>
        <w:t xml:space="preserve"> </w:t>
      </w:r>
      <w:r>
        <w:rPr>
          <w:rFonts w:ascii="Times New Roman" w:hAnsi="Times New Roman"/>
          <w:color w:val="000000"/>
        </w:rPr>
        <w:t xml:space="preserve">Anxiety and depression lnRR, with</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and study counts.</w:t>
      </w:r>
    </w:p>
    <w:p>
      <w:pPr>
        <w:pStyle w:val="Compact"/>
        <w:widowControl/>
        <w:numPr>
          <w:ilvl w:val="0"/>
          <w:numId w:val="1026"/>
        </w:numPr>
      </w:pPr>
      <w:r>
        <w:rPr>
          <w:rFonts w:ascii="Times New Roman" w:hAnsi="Times New Roman"/>
          <w:b/>
          <w:bCs/>
          <w:color w:val="000000"/>
        </w:rPr>
        <w:t xml:space="preserve">Panel B:</w:t>
      </w:r>
      <w:r>
        <w:rPr>
          <w:rFonts w:ascii="Times New Roman" w:hAnsi="Times New Roman"/>
          <w:color w:val="000000"/>
        </w:rPr>
        <w:t xml:space="preserve"> </w:t>
      </w:r>
      <w:r>
        <w:rPr>
          <w:rFonts w:ascii="Times New Roman" w:hAnsi="Times New Roman"/>
          <w:color w:val="000000"/>
        </w:rPr>
        <w:t xml:space="preserve">Anxiety and depression lnVR, with</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and study counts.</w:t>
      </w:r>
    </w:p>
    <w:p>
      <w:pPr>
        <w:pStyle w:val="Compact"/>
        <w:widowControl/>
        <w:numPr>
          <w:ilvl w:val="0"/>
          <w:numId w:val="1026"/>
        </w:numPr>
      </w:pPr>
      <w:r>
        <w:rPr>
          <w:rFonts w:ascii="Times New Roman" w:hAnsi="Times New Roman"/>
          <w:color w:val="000000"/>
        </w:rPr>
        <w:t xml:space="preserve">Keep because outcome type is central to the protocol and the lnRR contrast is one of the clearest current findings.</w:t>
      </w:r>
    </w:p>
    <w:bookmarkEnd w:id="53"/>
    <w:bookmarkStart w:id="54" w:name="X780256988a4bdfb86f984f9f5e4f731c253a88e"/>
    <w:p>
      <w:pPr>
        <w:pStyle w:val="Heading2"/>
        <w:widowControl/>
      </w:pPr>
      <w:r>
        <w:rPr>
          <w:rFonts w:ascii="Times New Roman" w:hAnsi="Times New Roman"/>
          <w:color w:val="000000"/>
        </w:rPr>
        <w:t xml:space="preserve">Figure 4 — Protocol-focused lnRR moderators</w:t>
      </w:r>
    </w:p>
    <w:p>
      <w:pPr>
        <w:pStyle w:val="FirstParagraph"/>
        <w:widowControl/>
      </w:pPr>
      <w:r>
        <w:rPr>
          <w:rFonts w:ascii="Times New Roman" w:hAnsi="Times New Roman"/>
          <w:color w:val="000000"/>
        </w:rPr>
        <w:t xml:space="preserve">Recommended seven-panel dashboard, ordered by the research questions rather than p-value:</w:t>
      </w:r>
    </w:p>
    <w:p>
      <w:pPr>
        <w:pStyle w:val="Compact"/>
        <w:widowControl/>
        <w:numPr>
          <w:ilvl w:val="0"/>
          <w:numId w:val="1027"/>
        </w:numPr>
      </w:pPr>
      <w:r>
        <w:rPr>
          <w:rFonts w:ascii="Times New Roman" w:hAnsi="Times New Roman"/>
          <w:b/>
          <w:bCs/>
          <w:color w:val="000000"/>
        </w:rPr>
        <w:t xml:space="preserve">A:</w:t>
      </w:r>
      <w:r>
        <w:rPr>
          <w:rFonts w:ascii="Times New Roman" w:hAnsi="Times New Roman"/>
          <w:color w:val="000000"/>
        </w:rPr>
        <w:t xml:space="preserve"> </w:t>
      </w:r>
      <w:r>
        <w:rPr>
          <w:rFonts w:ascii="Times New Roman" w:hAnsi="Times New Roman"/>
          <w:color w:val="000000"/>
        </w:rPr>
        <w:t xml:space="preserve">offspring sex;</w:t>
      </w:r>
    </w:p>
    <w:p>
      <w:pPr>
        <w:pStyle w:val="Compact"/>
        <w:widowControl/>
        <w:numPr>
          <w:ilvl w:val="0"/>
          <w:numId w:val="1027"/>
        </w:numPr>
      </w:pPr>
      <w:r>
        <w:rPr>
          <w:rFonts w:ascii="Times New Roman" w:hAnsi="Times New Roman"/>
          <w:b/>
          <w:bCs/>
          <w:color w:val="000000"/>
        </w:rPr>
        <w:t xml:space="preserve">B:</w:t>
      </w:r>
      <w:r>
        <w:rPr>
          <w:rFonts w:ascii="Times New Roman" w:hAnsi="Times New Roman"/>
          <w:color w:val="000000"/>
        </w:rPr>
        <w:t xml:space="preserve"> </w:t>
      </w:r>
      <w:r>
        <w:rPr>
          <w:rFonts w:ascii="Times New Roman" w:hAnsi="Times New Roman"/>
          <w:color w:val="000000"/>
        </w:rPr>
        <w:t xml:space="preserve">offspring age at testing (continuous);</w:t>
      </w:r>
    </w:p>
    <w:p>
      <w:pPr>
        <w:pStyle w:val="Compact"/>
        <w:widowControl/>
        <w:numPr>
          <w:ilvl w:val="0"/>
          <w:numId w:val="1027"/>
        </w:numPr>
      </w:pPr>
      <w:r>
        <w:rPr>
          <w:rFonts w:ascii="Times New Roman" w:hAnsi="Times New Roman"/>
          <w:b/>
          <w:bCs/>
          <w:color w:val="000000"/>
        </w:rPr>
        <w:t xml:space="preserve">C:</w:t>
      </w:r>
      <w:r>
        <w:rPr>
          <w:rFonts w:ascii="Times New Roman" w:hAnsi="Times New Roman"/>
          <w:color w:val="000000"/>
        </w:rPr>
        <w:t xml:space="preserve"> </w:t>
      </w:r>
      <w:r>
        <w:rPr>
          <w:rFonts w:ascii="Times New Roman" w:hAnsi="Times New Roman"/>
          <w:color w:val="000000"/>
        </w:rPr>
        <w:t xml:space="preserve">gestational timing;</w:t>
      </w:r>
    </w:p>
    <w:p>
      <w:pPr>
        <w:pStyle w:val="Compact"/>
        <w:widowControl/>
        <w:numPr>
          <w:ilvl w:val="0"/>
          <w:numId w:val="1027"/>
        </w:numPr>
      </w:pPr>
      <w:r>
        <w:rPr>
          <w:rFonts w:ascii="Times New Roman" w:hAnsi="Times New Roman"/>
          <w:b/>
          <w:bCs/>
          <w:color w:val="000000"/>
        </w:rPr>
        <w:t xml:space="preserve">D:</w:t>
      </w:r>
      <w:r>
        <w:rPr>
          <w:rFonts w:ascii="Times New Roman" w:hAnsi="Times New Roman"/>
          <w:color w:val="000000"/>
        </w:rPr>
        <w:t xml:space="preserve"> </w:t>
      </w:r>
      <w:r>
        <w:rPr>
          <w:rFonts w:ascii="Times New Roman" w:hAnsi="Times New Roman"/>
          <w:color w:val="000000"/>
        </w:rPr>
        <w:t xml:space="preserve">exposure duration in days (continuous);</w:t>
      </w:r>
    </w:p>
    <w:p>
      <w:pPr>
        <w:pStyle w:val="Compact"/>
        <w:widowControl/>
        <w:numPr>
          <w:ilvl w:val="0"/>
          <w:numId w:val="1027"/>
        </w:numPr>
      </w:pPr>
      <w:r>
        <w:rPr>
          <w:rFonts w:ascii="Times New Roman" w:hAnsi="Times New Roman"/>
          <w:b/>
          <w:bCs/>
          <w:color w:val="000000"/>
        </w:rPr>
        <w:t xml:space="preserve">E:</w:t>
      </w:r>
      <w:r>
        <w:rPr>
          <w:rFonts w:ascii="Times New Roman" w:hAnsi="Times New Roman"/>
          <w:color w:val="000000"/>
        </w:rPr>
        <w:t xml:space="preserve"> </w:t>
      </w:r>
      <w:r>
        <w:rPr>
          <w:rFonts w:ascii="Times New Roman" w:hAnsi="Times New Roman"/>
          <w:color w:val="000000"/>
        </w:rPr>
        <w:t xml:space="preserve">noise frequency range;</w:t>
      </w:r>
    </w:p>
    <w:p>
      <w:pPr>
        <w:pStyle w:val="Compact"/>
        <w:widowControl/>
        <w:numPr>
          <w:ilvl w:val="0"/>
          <w:numId w:val="1027"/>
        </w:numPr>
      </w:pPr>
      <w:r>
        <w:rPr>
          <w:rFonts w:ascii="Times New Roman" w:hAnsi="Times New Roman"/>
          <w:b/>
          <w:bCs/>
          <w:color w:val="000000"/>
        </w:rPr>
        <w:t xml:space="preserve">F:</w:t>
      </w:r>
      <w:r>
        <w:rPr>
          <w:rFonts w:ascii="Times New Roman" w:hAnsi="Times New Roman"/>
          <w:color w:val="000000"/>
        </w:rPr>
        <w:t xml:space="preserve"> </w:t>
      </w:r>
      <w:r>
        <w:rPr>
          <w:rFonts w:ascii="Times New Roman" w:hAnsi="Times New Roman"/>
          <w:color w:val="000000"/>
        </w:rPr>
        <w:t xml:space="preserve">loudness in unweighted dB (continuous);</w:t>
      </w:r>
    </w:p>
    <w:p>
      <w:pPr>
        <w:pStyle w:val="Compact"/>
        <w:widowControl/>
        <w:numPr>
          <w:ilvl w:val="0"/>
          <w:numId w:val="1027"/>
        </w:numPr>
      </w:pPr>
      <w:r>
        <w:rPr>
          <w:rFonts w:ascii="Times New Roman" w:hAnsi="Times New Roman"/>
          <w:b/>
          <w:bCs/>
          <w:color w:val="000000"/>
        </w:rPr>
        <w:t xml:space="preserve">G:</w:t>
      </w:r>
      <w:r>
        <w:rPr>
          <w:rFonts w:ascii="Times New Roman" w:hAnsi="Times New Roman"/>
          <w:color w:val="000000"/>
        </w:rPr>
        <w:t xml:space="preserve"> </w:t>
      </w:r>
      <w:r>
        <w:rPr>
          <w:rFonts w:ascii="Times New Roman" w:hAnsi="Times New Roman"/>
          <w:color w:val="000000"/>
        </w:rPr>
        <w:t xml:space="preserve">behavioural assay.</w:t>
      </w:r>
    </w:p>
    <w:p>
      <w:pPr>
        <w:pStyle w:val="FirstParagraph"/>
        <w:widowControl/>
      </w:pPr>
      <w:r>
        <w:rPr>
          <w:rFonts w:ascii="Times New Roman" w:hAnsi="Times New Roman"/>
          <w:color w:val="000000"/>
        </w:rPr>
        <w:t xml:space="preserve">This is a large figure, but it answers the registered biological and methodological questions without selecting only positive results. Use a 2 × 4 layout with Panel G spanning the final two columns. If the journal makes the panel text unreadable, retain A, B, D, E, F, and G in the main figure and move gestational timing to Figure S3.</w:t>
      </w:r>
    </w:p>
    <w:bookmarkEnd w:id="54"/>
    <w:bookmarkStart w:id="55" w:name="X59a729f182075ba2816c923d959c17069b89713"/>
    <w:p>
      <w:pPr>
        <w:pStyle w:val="Heading2"/>
        <w:widowControl/>
      </w:pPr>
      <w:r>
        <w:rPr>
          <w:rFonts w:ascii="Times New Roman" w:hAnsi="Times New Roman"/>
          <w:color w:val="000000"/>
        </w:rPr>
        <w:t xml:space="preserve">Figure 5 — Protocol-focused lnVR moderators</w:t>
      </w:r>
    </w:p>
    <w:p>
      <w:pPr>
        <w:pStyle w:val="FirstParagraph"/>
        <w:widowControl/>
      </w:pPr>
      <w:r>
        <w:rPr>
          <w:rFonts w:ascii="Times New Roman" w:hAnsi="Times New Roman"/>
          <w:color w:val="000000"/>
        </w:rPr>
        <w:t xml:space="preserve">Use the same seven moderators, panel order, scales where defensible, and colours as Figure 4. The matched structure lets readers compare whether each moderator relates to means, variability, both, or neither. The loudness panel is currently the strongest lnVR association, but it should appear because intensity was specified in the protocol, not because its p-value is small.</w:t>
      </w:r>
    </w:p>
    <w:bookmarkEnd w:id="55"/>
    <w:bookmarkStart w:id="56" w:name="Xdb9387eaf45dbdea680385a6be4aa18748afd86"/>
    <w:p>
      <w:pPr>
        <w:pStyle w:val="Heading2"/>
        <w:widowControl/>
      </w:pPr>
      <w:r>
        <w:rPr>
          <w:rFonts w:ascii="Times New Roman" w:hAnsi="Times New Roman"/>
          <w:color w:val="000000"/>
        </w:rPr>
        <w:t xml:space="preserve">Figure 6 — Small-study and time-lag patterns</w:t>
      </w:r>
    </w:p>
    <w:p>
      <w:pPr>
        <w:pStyle w:val="Compact"/>
        <w:widowControl/>
        <w:numPr>
          <w:ilvl w:val="0"/>
          <w:numId w:val="1028"/>
        </w:numPr>
      </w:pPr>
      <w:r>
        <w:rPr>
          <w:rFonts w:ascii="Times New Roman" w:hAnsi="Times New Roman"/>
          <w:b/>
          <w:bCs/>
          <w:color w:val="000000"/>
        </w:rPr>
        <w:t xml:space="preserve">Panel A:</w:t>
      </w:r>
      <w:r>
        <w:rPr>
          <w:rFonts w:ascii="Times New Roman" w:hAnsi="Times New Roman"/>
          <w:color w:val="000000"/>
        </w:rPr>
        <w:t xml:space="preserve"> </w:t>
      </w:r>
      <w:r>
        <w:rPr>
          <w:rFonts w:ascii="Times New Roman" w:hAnsi="Times New Roman"/>
          <w:color w:val="000000"/>
        </w:rPr>
        <w:t xml:space="preserve">lnRR against √(1/N_T + 1/N_C), with the multilevel regression line.</w:t>
      </w:r>
    </w:p>
    <w:p>
      <w:pPr>
        <w:pStyle w:val="Compact"/>
        <w:widowControl/>
        <w:numPr>
          <w:ilvl w:val="0"/>
          <w:numId w:val="1028"/>
        </w:numPr>
      </w:pPr>
      <w:r>
        <w:rPr>
          <w:rFonts w:ascii="Times New Roman" w:hAnsi="Times New Roman"/>
          <w:b/>
          <w:bCs/>
          <w:color w:val="000000"/>
        </w:rPr>
        <w:t xml:space="preserve">Panel B:</w:t>
      </w:r>
      <w:r>
        <w:rPr>
          <w:rFonts w:ascii="Times New Roman" w:hAnsi="Times New Roman"/>
          <w:color w:val="000000"/>
        </w:rPr>
        <w:t xml:space="preserve"> </w:t>
      </w:r>
      <w:r>
        <w:rPr>
          <w:rFonts w:ascii="Times New Roman" w:hAnsi="Times New Roman"/>
          <w:color w:val="000000"/>
        </w:rPr>
        <w:t xml:space="preserve">lnRR against publication year, adjusted for the precision term.</w:t>
      </w:r>
    </w:p>
    <w:p>
      <w:pPr>
        <w:pStyle w:val="Compact"/>
        <w:widowControl/>
        <w:numPr>
          <w:ilvl w:val="0"/>
          <w:numId w:val="1028"/>
        </w:numPr>
      </w:pPr>
      <w:r>
        <w:rPr>
          <w:rFonts w:ascii="Times New Roman" w:hAnsi="Times New Roman"/>
          <w:color w:val="000000"/>
        </w:rPr>
        <w:t xml:space="preserve">Place the residual funnel plot in Appendix III/Figure S6 unless the target journal expects it in the main paper.</w:t>
      </w:r>
    </w:p>
    <w:bookmarkEnd w:id="56"/>
    <w:bookmarkStart w:id="57" w:name="figure-7-crime-q"/>
    <w:p>
      <w:pPr>
        <w:pStyle w:val="Heading2"/>
        <w:widowControl/>
      </w:pPr>
      <w:r>
        <w:rPr>
          <w:rFonts w:ascii="Times New Roman" w:hAnsi="Times New Roman"/>
          <w:color w:val="000000"/>
        </w:rPr>
        <w:t xml:space="preserve">Figure 7 — CRIME-Q</w:t>
      </w:r>
    </w:p>
    <w:p>
      <w:pPr>
        <w:pStyle w:val="Compact"/>
        <w:widowControl/>
        <w:numPr>
          <w:ilvl w:val="0"/>
          <w:numId w:val="1029"/>
        </w:numPr>
      </w:pPr>
      <w:r>
        <w:rPr>
          <w:rFonts w:ascii="Times New Roman" w:hAnsi="Times New Roman"/>
          <w:color w:val="000000"/>
        </w:rPr>
        <w:t xml:space="preserve">Study × item heatmap for all 16 studies and 21 items.</w:t>
      </w:r>
    </w:p>
    <w:p>
      <w:pPr>
        <w:pStyle w:val="Compact"/>
        <w:widowControl/>
        <w:numPr>
          <w:ilvl w:val="0"/>
          <w:numId w:val="1029"/>
        </w:numPr>
      </w:pPr>
      <w:r>
        <w:rPr>
          <w:rFonts w:ascii="Times New Roman" w:hAnsi="Times New Roman"/>
          <w:color w:val="000000"/>
        </w:rPr>
        <w:t xml:space="preserve">Group items visually into reporting, methodological quality, and risk-of-bias domains.</w:t>
      </w:r>
    </w:p>
    <w:p>
      <w:pPr>
        <w:pStyle w:val="Compact"/>
        <w:widowControl/>
        <w:numPr>
          <w:ilvl w:val="0"/>
          <w:numId w:val="1029"/>
        </w:numPr>
      </w:pPr>
      <w:r>
        <w:rPr>
          <w:rFonts w:ascii="Times New Roman" w:hAnsi="Times New Roman"/>
          <w:color w:val="000000"/>
        </w:rPr>
        <w:t xml:space="preserve">Provide item definitions in Appendix III, Table S11 rather than overloading the legend.</w:t>
      </w:r>
    </w:p>
    <w:bookmarkEnd w:id="57"/>
    <w:bookmarkStart w:id="58" w:name="X4542ef3354966ec4b01b7cb6f3d1c2047c39624"/>
    <w:p>
      <w:pPr>
        <w:pStyle w:val="Heading2"/>
        <w:widowControl/>
      </w:pPr>
      <w:r>
        <w:rPr>
          <w:rFonts w:ascii="Times New Roman" w:hAnsi="Times New Roman"/>
          <w:color w:val="000000"/>
        </w:rPr>
        <w:t xml:space="preserve">Figure 8 — Abramova-laboratory sensitivity analysis</w:t>
      </w:r>
    </w:p>
    <w:p>
      <w:pPr>
        <w:pStyle w:val="Compact"/>
        <w:widowControl/>
        <w:numPr>
          <w:ilvl w:val="0"/>
          <w:numId w:val="1030"/>
        </w:numPr>
      </w:pPr>
      <w:r>
        <w:rPr>
          <w:rFonts w:ascii="Times New Roman" w:hAnsi="Times New Roman"/>
          <w:b/>
          <w:bCs/>
          <w:color w:val="000000"/>
        </w:rPr>
        <w:t xml:space="preserve">Panel A:</w:t>
      </w:r>
      <w:r>
        <w:rPr>
          <w:rFonts w:ascii="Times New Roman" w:hAnsi="Times New Roman"/>
          <w:color w:val="000000"/>
        </w:rPr>
        <w:t xml:space="preserve"> </w:t>
      </w:r>
      <w:r>
        <w:rPr>
          <w:rFonts w:ascii="Times New Roman" w:hAnsi="Times New Roman"/>
          <w:color w:val="000000"/>
        </w:rPr>
        <w:t xml:space="preserve">overall lnRR with all studies.</w:t>
      </w:r>
    </w:p>
    <w:p>
      <w:pPr>
        <w:pStyle w:val="Compact"/>
        <w:widowControl/>
        <w:numPr>
          <w:ilvl w:val="0"/>
          <w:numId w:val="1030"/>
        </w:numPr>
      </w:pPr>
      <w:r>
        <w:rPr>
          <w:rFonts w:ascii="Times New Roman" w:hAnsi="Times New Roman"/>
          <w:b/>
          <w:bCs/>
          <w:color w:val="000000"/>
        </w:rPr>
        <w:t xml:space="preserve">Panel B:</w:t>
      </w:r>
      <w:r>
        <w:rPr>
          <w:rFonts w:ascii="Times New Roman" w:hAnsi="Times New Roman"/>
          <w:color w:val="000000"/>
        </w:rPr>
        <w:t xml:space="preserve"> </w:t>
      </w:r>
      <w:r>
        <w:rPr>
          <w:rFonts w:ascii="Times New Roman" w:hAnsi="Times New Roman"/>
          <w:color w:val="000000"/>
        </w:rPr>
        <w:t xml:space="preserve">overall lnRR after excluding all four Abramova-laboratory studies.</w:t>
      </w:r>
    </w:p>
    <w:p>
      <w:pPr>
        <w:pStyle w:val="Compact"/>
        <w:widowControl/>
        <w:numPr>
          <w:ilvl w:val="0"/>
          <w:numId w:val="1030"/>
        </w:numPr>
      </w:pPr>
      <w:r>
        <w:rPr>
          <w:rFonts w:ascii="Times New Roman" w:hAnsi="Times New Roman"/>
          <w:color w:val="000000"/>
        </w:rPr>
        <w:t xml:space="preserve">Use identical axes and show</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and study counts. Explain that this is a laboratory-cluster sensitivity analysis, not a conventional leave-one-out analysis.</w:t>
      </w:r>
    </w:p>
    <w:bookmarkEnd w:id="58"/>
    <w:bookmarkEnd w:id="59"/>
    <w:bookmarkStart w:id="65" w:name="online-supplementary-html-structure"/>
    <w:p>
      <w:pPr>
        <w:pStyle w:val="Heading1"/>
        <w:widowControl/>
      </w:pPr>
      <w:r>
        <w:rPr>
          <w:rFonts w:ascii="Times New Roman" w:hAnsi="Times New Roman"/>
          <w:color w:val="000000"/>
        </w:rPr>
        <w:t xml:space="preserve">Online supplementary HTML structure</w:t>
      </w:r>
    </w:p>
    <w:bookmarkStart w:id="60" w:name="appendix-i-sensitivity-analyses"/>
    <w:p>
      <w:pPr>
        <w:pStyle w:val="Heading2"/>
        <w:widowControl/>
      </w:pPr>
      <w:r>
        <w:rPr>
          <w:rFonts w:ascii="Times New Roman" w:hAnsi="Times New Roman"/>
          <w:color w:val="000000"/>
        </w:rPr>
        <w:t xml:space="preserve">Appendix I — Sensitivity analyses</w:t>
      </w:r>
    </w:p>
    <w:p>
      <w:pPr>
        <w:pStyle w:val="FirstParagraph"/>
        <w:widowControl/>
      </w:pPr>
      <w:r>
        <w:rPr>
          <w:rFonts w:ascii="Times New Roman" w:hAnsi="Times New Roman"/>
          <w:color w:val="000000"/>
        </w:rPr>
        <w:t xml:space="preserve">Use the current sensitivity-analysis chapter for:</w:t>
      </w:r>
    </w:p>
    <w:p>
      <w:pPr>
        <w:pStyle w:val="Compact"/>
        <w:widowControl/>
        <w:numPr>
          <w:ilvl w:val="0"/>
          <w:numId w:val="1031"/>
        </w:numPr>
      </w:pPr>
      <w:r>
        <w:rPr>
          <w:rFonts w:ascii="Times New Roman" w:hAnsi="Times New Roman"/>
          <w:color w:val="000000"/>
        </w:rPr>
        <w:t xml:space="preserve">the combined Abramova-laboratory exclusion;</w:t>
      </w:r>
    </w:p>
    <w:p>
      <w:pPr>
        <w:pStyle w:val="Compact"/>
        <w:widowControl/>
        <w:numPr>
          <w:ilvl w:val="0"/>
          <w:numId w:val="1031"/>
        </w:numPr>
      </w:pPr>
      <w:r>
        <w:rPr>
          <w:rFonts w:ascii="Times New Roman" w:hAnsi="Times New Roman"/>
          <w:color w:val="000000"/>
        </w:rPr>
        <w:t xml:space="preserve">the exact-zero-correction exclusion;</w:t>
      </w:r>
    </w:p>
    <w:p>
      <w:pPr>
        <w:pStyle w:val="Compact"/>
        <w:widowControl/>
        <w:numPr>
          <w:ilvl w:val="0"/>
          <w:numId w:val="1031"/>
        </w:numPr>
      </w:pPr>
      <w:r>
        <w:rPr>
          <w:rFonts w:ascii="Times New Roman" w:hAnsi="Times New Roman"/>
          <w:color w:val="000000"/>
        </w:rPr>
        <w:t xml:space="preserve">the ρ-sensitivity analysis, if added.</w:t>
      </w:r>
    </w:p>
    <w:p>
      <w:pPr>
        <w:pStyle w:val="FirstParagraph"/>
        <w:widowControl/>
      </w:pPr>
      <w:r>
        <w:rPr>
          <w:rFonts w:ascii="Times New Roman" w:hAnsi="Times New Roman"/>
          <w:color w:val="000000"/>
        </w:rPr>
        <w:t xml:space="preserve">The main manuscript can still reproduce the Abramova comparison as Figure 8 because it addresses the unusually large contribution from one laboratory.</w:t>
      </w:r>
    </w:p>
    <w:bookmarkEnd w:id="60"/>
    <w:bookmarkStart w:id="61" w:name="appendix-ii-main-figures"/>
    <w:p>
      <w:pPr>
        <w:pStyle w:val="Heading2"/>
        <w:widowControl/>
      </w:pPr>
      <w:r>
        <w:rPr>
          <w:rFonts w:ascii="Times New Roman" w:hAnsi="Times New Roman"/>
          <w:color w:val="000000"/>
        </w:rPr>
        <w:t xml:space="preserve">Appendix II — Main figures</w:t>
      </w:r>
    </w:p>
    <w:p>
      <w:pPr>
        <w:pStyle w:val="FirstParagraph"/>
        <w:widowControl/>
      </w:pPr>
      <w:r>
        <w:rPr>
          <w:rFonts w:ascii="Times New Roman" w:hAnsi="Times New Roman"/>
          <w:color w:val="000000"/>
        </w:rPr>
        <w:t xml:space="preserve">Expand the current alluvial-plot chapter into a main-figures chapter containing Figures 1-8 in final order. Each figure should have its own subsection so that its title appears in the</w:t>
      </w:r>
      <w:r>
        <w:rPr>
          <w:rFonts w:ascii="Times New Roman" w:hAnsi="Times New Roman"/>
          <w:color w:val="000000"/>
        </w:rPr>
        <w:t xml:space="preserve"> </w:t>
      </w:r>
      <w:r>
        <w:rPr>
          <w:rFonts w:ascii="Times New Roman" w:hAnsi="Times New Roman"/>
          <w:b/>
          <w:bCs/>
          <w:color w:val="000000"/>
        </w:rPr>
        <w:t xml:space="preserve">On this page</w:t>
      </w:r>
      <w:r>
        <w:rPr>
          <w:rFonts w:ascii="Times New Roman" w:hAnsi="Times New Roman"/>
          <w:color w:val="000000"/>
        </w:rPr>
        <w:t xml:space="preserve"> </w:t>
      </w:r>
      <w:r>
        <w:rPr>
          <w:rFonts w:ascii="Times New Roman" w:hAnsi="Times New Roman"/>
          <w:color w:val="000000"/>
        </w:rPr>
        <w:t xml:space="preserve">index.</w:t>
      </w:r>
    </w:p>
    <w:bookmarkEnd w:id="61"/>
    <w:bookmarkStart w:id="64" w:name="X27e449f93f12862a92d32b58a538271a0a6f6a2"/>
    <w:p>
      <w:pPr>
        <w:pStyle w:val="Heading2"/>
        <w:widowControl/>
      </w:pPr>
      <w:r>
        <w:rPr>
          <w:rFonts w:ascii="Times New Roman" w:hAnsi="Times New Roman"/>
          <w:color w:val="000000"/>
        </w:rPr>
        <w:t xml:space="preserve">Appendix III — Supplementary figures and tables</w:t>
      </w:r>
    </w:p>
    <w:bookmarkStart w:id="62" w:name="supplementary-figures"/>
    <w:p>
      <w:pPr>
        <w:pStyle w:val="Heading3"/>
        <w:widowControl/>
      </w:pPr>
      <w:r>
        <w:rPr>
          <w:rFonts w:ascii="Times New Roman" w:hAnsi="Times New Roman"/>
          <w:color w:val="000000"/>
        </w:rPr>
        <w:t xml:space="preserve">Supplementary figures</w:t>
      </w:r>
    </w:p>
    <w:p>
      <w:pPr>
        <w:pStyle w:val="FirstParagraph"/>
        <w:widowControl/>
      </w:pPr>
      <w:r>
        <w:rPr>
          <w:rFonts w:ascii="Times New Roman" w:hAnsi="Times New Roman"/>
          <w:color w:val="000000"/>
        </w:rPr>
        <w:t xml:space="preserve">Corrected numbering:</w:t>
      </w:r>
    </w:p>
    <w:p>
      <w:pPr>
        <w:pStyle w:val="Compact"/>
        <w:widowControl/>
        <w:numPr>
          <w:ilvl w:val="0"/>
          <w:numId w:val="1032"/>
        </w:numPr>
      </w:pPr>
      <w:r>
        <w:rPr>
          <w:rFonts w:ascii="Times New Roman" w:hAnsi="Times New Roman"/>
          <w:b/>
          <w:bCs/>
          <w:color w:val="000000"/>
        </w:rPr>
        <w:t xml:space="preserve">Figure S1 — PRISMA flow diagram.</w:t>
      </w:r>
    </w:p>
    <w:p>
      <w:pPr>
        <w:pStyle w:val="Compact"/>
        <w:widowControl/>
        <w:numPr>
          <w:ilvl w:val="0"/>
          <w:numId w:val="1032"/>
        </w:numPr>
      </w:pPr>
      <w:r>
        <w:rPr>
          <w:rFonts w:ascii="Times New Roman" w:hAnsi="Times New Roman"/>
          <w:b/>
          <w:bCs/>
          <w:color w:val="000000"/>
        </w:rPr>
        <w:t xml:space="preserve">Figure S2 — Screening decision tree.</w:t>
      </w:r>
    </w:p>
    <w:p>
      <w:pPr>
        <w:pStyle w:val="Compact"/>
        <w:widowControl/>
        <w:numPr>
          <w:ilvl w:val="0"/>
          <w:numId w:val="1032"/>
        </w:numPr>
      </w:pPr>
      <w:r>
        <w:rPr>
          <w:rFonts w:ascii="Times New Roman" w:hAnsi="Times New Roman"/>
          <w:b/>
          <w:bCs/>
          <w:color w:val="000000"/>
        </w:rPr>
        <w:t xml:space="preserve">Figure S3 — Additional/exploratory lnRR uni-moderators.</w:t>
      </w:r>
      <w:r>
        <w:rPr>
          <w:rFonts w:ascii="Times New Roman" w:hAnsi="Times New Roman"/>
          <w:color w:val="000000"/>
        </w:rPr>
        <w:t xml:space="preserve"> </w:t>
      </w:r>
      <w:r>
        <w:rPr>
          <w:rFonts w:ascii="Times New Roman" w:hAnsi="Times New Roman"/>
          <w:color w:val="000000"/>
        </w:rPr>
        <w:t xml:space="preserve">Exposure type and control conditions; include gestational timing here only if it cannot fit in Figure 4.</w:t>
      </w:r>
    </w:p>
    <w:p>
      <w:pPr>
        <w:pStyle w:val="Compact"/>
        <w:widowControl/>
        <w:numPr>
          <w:ilvl w:val="0"/>
          <w:numId w:val="1032"/>
        </w:numPr>
      </w:pPr>
      <w:r>
        <w:rPr>
          <w:rFonts w:ascii="Times New Roman" w:hAnsi="Times New Roman"/>
          <w:b/>
          <w:bCs/>
          <w:color w:val="000000"/>
        </w:rPr>
        <w:t xml:space="preserve">Figure S4 — Additional/exploratory lnVR uni-moderators.</w:t>
      </w:r>
      <w:r>
        <w:rPr>
          <w:rFonts w:ascii="Times New Roman" w:hAnsi="Times New Roman"/>
          <w:color w:val="000000"/>
        </w:rPr>
        <w:t xml:space="preserve"> </w:t>
      </w:r>
      <w:r>
        <w:rPr>
          <w:rFonts w:ascii="Times New Roman" w:hAnsi="Times New Roman"/>
          <w:color w:val="000000"/>
        </w:rPr>
        <w:t xml:space="preserve">Exposure type and control conditions; include gestational timing here only if it cannot fit in Figure 5.</w:t>
      </w:r>
    </w:p>
    <w:p>
      <w:pPr>
        <w:pStyle w:val="Compact"/>
        <w:widowControl/>
        <w:numPr>
          <w:ilvl w:val="0"/>
          <w:numId w:val="1032"/>
        </w:numPr>
      </w:pPr>
      <w:r>
        <w:rPr>
          <w:rFonts w:ascii="Times New Roman" w:hAnsi="Times New Roman"/>
          <w:b/>
          <w:bCs/>
          <w:color w:val="000000"/>
        </w:rPr>
        <w:t xml:space="preserve">Figure S5 — Study-level leave-one-out orchard plot.</w:t>
      </w:r>
    </w:p>
    <w:p>
      <w:pPr>
        <w:pStyle w:val="Compact"/>
        <w:widowControl/>
        <w:numPr>
          <w:ilvl w:val="0"/>
          <w:numId w:val="1032"/>
        </w:numPr>
      </w:pPr>
      <w:r>
        <w:rPr>
          <w:rFonts w:ascii="Times New Roman" w:hAnsi="Times New Roman"/>
          <w:b/>
          <w:bCs/>
          <w:color w:val="000000"/>
        </w:rPr>
        <w:t xml:space="preserve">Figure S6 — Residual funnel plot.</w:t>
      </w:r>
      <w:r>
        <w:rPr>
          <w:rFonts w:ascii="Times New Roman" w:hAnsi="Times New Roman"/>
          <w:color w:val="000000"/>
        </w:rPr>
        <w:t xml:space="preserve"> </w:t>
      </w:r>
      <w:r>
        <w:rPr>
          <w:rFonts w:ascii="Times New Roman" w:hAnsi="Times New Roman"/>
          <w:color w:val="000000"/>
        </w:rPr>
        <w:t xml:space="preserve">Retain if it is not included with the main publication-bias figure.</w:t>
      </w:r>
    </w:p>
    <w:p>
      <w:pPr>
        <w:pStyle w:val="Compact"/>
        <w:widowControl/>
        <w:numPr>
          <w:ilvl w:val="0"/>
          <w:numId w:val="1032"/>
        </w:numPr>
      </w:pPr>
      <w:r>
        <w:rPr>
          <w:rFonts w:ascii="Times New Roman" w:hAnsi="Times New Roman"/>
          <w:b/>
          <w:bCs/>
          <w:color w:val="000000"/>
        </w:rPr>
        <w:t xml:space="preserve">Figure S7 — Exact-zero-correction sensitivity comparison.</w:t>
      </w:r>
    </w:p>
    <w:p>
      <w:pPr>
        <w:pStyle w:val="Compact"/>
        <w:widowControl/>
        <w:numPr>
          <w:ilvl w:val="0"/>
          <w:numId w:val="1032"/>
        </w:numPr>
      </w:pPr>
      <w:r>
        <w:rPr>
          <w:rFonts w:ascii="Times New Roman" w:hAnsi="Times New Roman"/>
          <w:b/>
          <w:bCs/>
          <w:color w:val="000000"/>
        </w:rPr>
        <w:t xml:space="preserve">Figure S8 — Overall lnCVR and complete lnCVR moderator dashboard.</w:t>
      </w:r>
    </w:p>
    <w:bookmarkEnd w:id="62"/>
    <w:bookmarkStart w:id="63" w:name="supplementary-tables"/>
    <w:p>
      <w:pPr>
        <w:pStyle w:val="Heading3"/>
        <w:widowControl/>
      </w:pPr>
      <w:r>
        <w:rPr>
          <w:rFonts w:ascii="Times New Roman" w:hAnsi="Times New Roman"/>
          <w:color w:val="000000"/>
        </w:rPr>
        <w:t xml:space="preserve">Supplementary tables</w:t>
      </w:r>
    </w:p>
    <w:p>
      <w:pPr>
        <w:pStyle w:val="FirstParagraph"/>
        <w:widowControl/>
      </w:pPr>
      <w:r>
        <w:rPr>
          <w:rFonts w:ascii="Times New Roman" w:hAnsi="Times New Roman"/>
          <w:color w:val="000000"/>
        </w:rPr>
        <w:t xml:space="preserve">Create a separate QMD for the tables. Give every table an informative heading, not only a number, so the heading appears in the</w:t>
      </w:r>
      <w:r>
        <w:rPr>
          <w:rFonts w:ascii="Times New Roman" w:hAnsi="Times New Roman"/>
          <w:color w:val="000000"/>
        </w:rPr>
        <w:t xml:space="preserve"> </w:t>
      </w:r>
      <w:r>
        <w:rPr>
          <w:rFonts w:ascii="Times New Roman" w:hAnsi="Times New Roman"/>
          <w:b/>
          <w:bCs/>
          <w:color w:val="000000"/>
        </w:rPr>
        <w:t xml:space="preserve">On this page</w:t>
      </w:r>
      <w:r>
        <w:rPr>
          <w:rFonts w:ascii="Times New Roman" w:hAnsi="Times New Roman"/>
          <w:color w:val="000000"/>
        </w:rPr>
        <w:t xml:space="preserve"> </w:t>
      </w:r>
      <w:r>
        <w:rPr>
          <w:rFonts w:ascii="Times New Roman" w:hAnsi="Times New Roman"/>
          <w:color w:val="000000"/>
        </w:rPr>
        <w:t xml:space="preserve">index. Set</w:t>
      </w:r>
      <w:r>
        <w:rPr>
          <w:rFonts w:ascii="Times New Roman" w:hAnsi="Times New Roman"/>
          <w:color w:val="000000"/>
        </w:rPr>
        <w:t xml:space="preserve"> </w:t>
      </w:r>
      <w:r>
        <w:rPr>
          <w:rStyle w:val="VerbatimChar"/>
          <w:rFonts w:ascii="Times New Roman" w:hAnsi="Times New Roman"/>
          <w:color w:val="000000"/>
        </w:rPr>
        <w:t xml:space="preserve">toc: true</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Style w:val="VerbatimChar"/>
          <w:rFonts w:ascii="Times New Roman" w:hAnsi="Times New Roman"/>
          <w:color w:val="000000"/>
        </w:rPr>
        <w:t xml:space="preserve">toc-depth: 3</w:t>
      </w:r>
      <w:r>
        <w:rPr>
          <w:rFonts w:ascii="Times New Roman" w:hAnsi="Times New Roman"/>
          <w:color w:val="000000"/>
        </w:rPr>
        <w:t xml:space="preserve"> </w:t>
      </w:r>
      <w:r>
        <w:rPr>
          <w:rFonts w:ascii="Times New Roman" w:hAnsi="Times New Roman"/>
          <w:color w:val="000000"/>
        </w:rPr>
        <w:t xml:space="preserve">if tables are nested under an Appendix III heading.</w:t>
      </w:r>
    </w:p>
    <w:p>
      <w:pPr>
        <w:pStyle w:val="Compact"/>
        <w:widowControl/>
        <w:numPr>
          <w:ilvl w:val="0"/>
          <w:numId w:val="1033"/>
        </w:numPr>
      </w:pPr>
      <w:r>
        <w:rPr>
          <w:rFonts w:ascii="Times New Roman" w:hAnsi="Times New Roman"/>
          <w:b/>
          <w:bCs/>
          <w:color w:val="000000"/>
        </w:rPr>
        <w:t xml:space="preserve">Table S1 — Search strategy: database-specific search strings, search dates, and records retrieved.</w:t>
      </w:r>
    </w:p>
    <w:p>
      <w:pPr>
        <w:pStyle w:val="Compact"/>
        <w:widowControl/>
        <w:numPr>
          <w:ilvl w:val="0"/>
          <w:numId w:val="1033"/>
        </w:numPr>
      </w:pPr>
      <w:r>
        <w:rPr>
          <w:rFonts w:ascii="Times New Roman" w:hAnsi="Times New Roman"/>
          <w:b/>
          <w:bCs/>
          <w:color w:val="000000"/>
        </w:rPr>
        <w:t xml:space="preserve">Table S2 — Excluded studies: full-text reports and one primary exclusion reason.</w:t>
      </w:r>
    </w:p>
    <w:p>
      <w:pPr>
        <w:pStyle w:val="Compact"/>
        <w:widowControl/>
        <w:numPr>
          <w:ilvl w:val="0"/>
          <w:numId w:val="1033"/>
        </w:numPr>
      </w:pPr>
      <w:r>
        <w:rPr>
          <w:rFonts w:ascii="Times New Roman" w:hAnsi="Times New Roman"/>
          <w:b/>
          <w:bCs/>
          <w:color w:val="000000"/>
        </w:rPr>
        <w:t xml:space="preserve">Table S3 — Included studies: bibliographic and study characteristics, including publication language.</w:t>
      </w:r>
    </w:p>
    <w:p>
      <w:pPr>
        <w:pStyle w:val="Compact"/>
        <w:widowControl/>
        <w:numPr>
          <w:ilvl w:val="0"/>
          <w:numId w:val="1033"/>
        </w:numPr>
      </w:pPr>
      <w:r>
        <w:rPr>
          <w:rFonts w:ascii="Times New Roman" w:hAnsi="Times New Roman"/>
          <w:b/>
          <w:bCs/>
          <w:color w:val="000000"/>
        </w:rPr>
        <w:t xml:space="preserve">Table S4 — Updated codebook: variable roles, definitions, units, allowed values, and authority.</w:t>
      </w:r>
    </w:p>
    <w:p>
      <w:pPr>
        <w:pStyle w:val="Compact"/>
        <w:widowControl/>
        <w:numPr>
          <w:ilvl w:val="0"/>
          <w:numId w:val="1033"/>
        </w:numPr>
      </w:pPr>
      <w:r>
        <w:rPr>
          <w:rFonts w:ascii="Times New Roman" w:hAnsi="Times New Roman"/>
          <w:b/>
          <w:bCs/>
          <w:color w:val="000000"/>
        </w:rPr>
        <w:t xml:space="preserve">Table S5 — Index of data and resources: main extraction data, derived datasets, analysis books, GitHub links, and a short description of how to use each resource.</w:t>
      </w:r>
      <w:r>
        <w:rPr>
          <w:rFonts w:ascii="Times New Roman" w:hAnsi="Times New Roman"/>
          <w:color w:val="000000"/>
        </w:rPr>
        <w:t xml:space="preserve"> </w:t>
      </w:r>
      <w:r>
        <w:rPr>
          <w:rFonts w:ascii="Times New Roman" w:hAnsi="Times New Roman"/>
          <w:color w:val="000000"/>
        </w:rPr>
        <w:t xml:space="preserve">This content can also supply the GitHub README and the first page of the analysis HTML.</w:t>
      </w:r>
    </w:p>
    <w:p>
      <w:pPr>
        <w:pStyle w:val="Compact"/>
        <w:widowControl/>
        <w:numPr>
          <w:ilvl w:val="0"/>
          <w:numId w:val="1033"/>
        </w:numPr>
      </w:pPr>
      <w:r>
        <w:rPr>
          <w:rFonts w:ascii="Times New Roman" w:hAnsi="Times New Roman"/>
          <w:b/>
          <w:bCs/>
          <w:color w:val="000000"/>
        </w:rPr>
        <w:t xml:space="preserve">Table S6 — Overall meta-analytic results and multilevel heterogeneity.</w:t>
      </w:r>
    </w:p>
    <w:p>
      <w:pPr>
        <w:pStyle w:val="Compact"/>
        <w:widowControl/>
        <w:numPr>
          <w:ilvl w:val="0"/>
          <w:numId w:val="1033"/>
        </w:numPr>
      </w:pPr>
      <w:r>
        <w:rPr>
          <w:rFonts w:ascii="Times New Roman" w:hAnsi="Times New Roman"/>
          <w:b/>
          <w:bCs/>
          <w:color w:val="000000"/>
        </w:rPr>
        <w:t xml:space="preserve">Table S7 — Complete lnRR uni-moderator results.</w:t>
      </w:r>
      <w:r>
        <w:rPr>
          <w:rFonts w:ascii="Times New Roman" w:hAnsi="Times New Roman"/>
          <w:color w:val="000000"/>
        </w:rPr>
        <w:t xml:space="preserve"> </w:t>
      </w:r>
      <w:r>
        <w:rPr>
          <w:rFonts w:ascii="Times New Roman" w:hAnsi="Times New Roman"/>
          <w:color w:val="000000"/>
        </w:rPr>
        <w:t xml:space="preserve">Include every model and level,</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contributing-study count, estimates, intervals, omnibus tests, and R².</w:t>
      </w:r>
    </w:p>
    <w:p>
      <w:pPr>
        <w:pStyle w:val="Compact"/>
        <w:widowControl/>
        <w:numPr>
          <w:ilvl w:val="0"/>
          <w:numId w:val="1033"/>
        </w:numPr>
      </w:pPr>
      <w:r>
        <w:rPr>
          <w:rFonts w:ascii="Times New Roman" w:hAnsi="Times New Roman"/>
          <w:b/>
          <w:bCs/>
          <w:color w:val="000000"/>
        </w:rPr>
        <w:t xml:space="preserve">Table S8 — Complete lnVR uni-moderator results.</w:t>
      </w:r>
      <w:r>
        <w:rPr>
          <w:rFonts w:ascii="Times New Roman" w:hAnsi="Times New Roman"/>
          <w:color w:val="000000"/>
        </w:rPr>
        <w:t xml:space="preserve"> </w:t>
      </w:r>
      <w:r>
        <w:rPr>
          <w:rFonts w:ascii="Times New Roman" w:hAnsi="Times New Roman"/>
          <w:color w:val="000000"/>
        </w:rPr>
        <w:t xml:space="preserve">Use the same columns and order as Table S7.</w:t>
      </w:r>
    </w:p>
    <w:p>
      <w:pPr>
        <w:pStyle w:val="Compact"/>
        <w:widowControl/>
        <w:numPr>
          <w:ilvl w:val="0"/>
          <w:numId w:val="1033"/>
        </w:numPr>
      </w:pPr>
      <w:r>
        <w:rPr>
          <w:rFonts w:ascii="Times New Roman" w:hAnsi="Times New Roman"/>
          <w:b/>
          <w:bCs/>
          <w:color w:val="000000"/>
        </w:rPr>
        <w:t xml:space="preserve">Table S9 — Complete lnCVR supplementary results.</w:t>
      </w:r>
    </w:p>
    <w:p>
      <w:pPr>
        <w:pStyle w:val="Compact"/>
        <w:widowControl/>
        <w:numPr>
          <w:ilvl w:val="0"/>
          <w:numId w:val="1033"/>
        </w:numPr>
      </w:pPr>
      <w:r>
        <w:rPr>
          <w:rFonts w:ascii="Times New Roman" w:hAnsi="Times New Roman"/>
          <w:b/>
          <w:bCs/>
          <w:color w:val="000000"/>
        </w:rPr>
        <w:t xml:space="preserve">Table S10 — Pairwise moderator contrasts.</w:t>
      </w:r>
      <w:r>
        <w:rPr>
          <w:rFonts w:ascii="Times New Roman" w:hAnsi="Times New Roman"/>
          <w:color w:val="000000"/>
        </w:rPr>
        <w:t xml:space="preserve"> </w:t>
      </w:r>
      <w:r>
        <w:rPr>
          <w:rFonts w:ascii="Times New Roman" w:hAnsi="Times New Roman"/>
          <w:color w:val="000000"/>
        </w:rPr>
        <w:t xml:space="preserve">Label them as unadjusted exploratory contrasts.</w:t>
      </w:r>
    </w:p>
    <w:p>
      <w:pPr>
        <w:pStyle w:val="Compact"/>
        <w:widowControl/>
        <w:numPr>
          <w:ilvl w:val="0"/>
          <w:numId w:val="1033"/>
        </w:numPr>
      </w:pPr>
      <w:r>
        <w:rPr>
          <w:rFonts w:ascii="Times New Roman" w:hAnsi="Times New Roman"/>
          <w:b/>
          <w:bCs/>
          <w:color w:val="000000"/>
        </w:rPr>
        <w:t xml:space="preserve">Table S11 — CRIME-Q item definitions and reviewer agreement.</w:t>
      </w:r>
      <w:r>
        <w:rPr>
          <w:rFonts w:ascii="Times New Roman" w:hAnsi="Times New Roman"/>
          <w:color w:val="000000"/>
        </w:rPr>
        <w:t xml:space="preserve"> </w:t>
      </w:r>
      <w:r>
        <w:rPr>
          <w:rFonts w:ascii="Times New Roman" w:hAnsi="Times New Roman"/>
          <w:color w:val="000000"/>
        </w:rPr>
        <w:t xml:space="preserve">Include Cohen’s kappa and item-level disagreement rates if available.</w:t>
      </w:r>
    </w:p>
    <w:p>
      <w:pPr>
        <w:pStyle w:val="FirstParagraph"/>
        <w:widowControl/>
      </w:pPr>
      <w:r>
        <w:rPr>
          <w:rFonts w:ascii="Times New Roman" w:hAnsi="Times New Roman"/>
          <w:color w:val="000000"/>
        </w:rPr>
        <w:t xml:space="preserve">Appendix III should also document the effect-size equations, boundary-correction rules and affected IDs, VCV construction and ρ assumption, complete CRIME-Q codebook, session information, software versions, repository URL, and archived release/DOI. These can be short notes linked to the relevant figures or tables rather than additional numbered tables.</w:t>
      </w:r>
    </w:p>
    <w:bookmarkEnd w:id="63"/>
    <w:bookmarkEnd w:id="64"/>
    <w:bookmarkEnd w:id="65"/>
    <w:bookmarkStart w:id="66" w:name="X6a4a20472eaea2acf948dc84ab6b475bcdba7d1"/>
    <w:p>
      <w:pPr>
        <w:pStyle w:val="Heading1"/>
        <w:widowControl/>
      </w:pPr>
      <w:r>
        <w:rPr>
          <w:rFonts w:ascii="Times New Roman" w:hAnsi="Times New Roman"/>
          <w:color w:val="000000"/>
        </w:rPr>
        <w:t xml:space="preserve">Decisions and checks before converting this outline into a manuscript</w:t>
      </w:r>
    </w:p>
    <w:p>
      <w:pPr>
        <w:pStyle w:val="Compact"/>
        <w:widowControl/>
        <w:numPr>
          <w:ilvl w:val="0"/>
          <w:numId w:val="1034"/>
        </w:numPr>
      </w:pPr>
      <w:r>
        <w:rPr>
          <w:rFonts w:ascii="Times New Roman" w:hAnsi="Times New Roman"/>
          <w:color w:val="000000"/>
        </w:rPr>
        <w:t xml:space="preserve">Add the OSF registration link/identifier and final search dates.</w:t>
      </w:r>
    </w:p>
    <w:p>
      <w:pPr>
        <w:pStyle w:val="Compact"/>
        <w:widowControl/>
        <w:numPr>
          <w:ilvl w:val="0"/>
          <w:numId w:val="1034"/>
        </w:numPr>
      </w:pPr>
      <w:r>
        <w:rPr>
          <w:rFonts w:ascii="Times New Roman" w:hAnsi="Times New Roman"/>
          <w:color w:val="000000"/>
        </w:rPr>
        <w:t xml:space="preserve">Confirm that 100% of data extraction was independently cross-checked.</w:t>
      </w:r>
    </w:p>
    <w:p>
      <w:pPr>
        <w:pStyle w:val="Compact"/>
        <w:widowControl/>
        <w:numPr>
          <w:ilvl w:val="0"/>
          <w:numId w:val="1034"/>
        </w:numPr>
      </w:pPr>
      <w:r>
        <w:rPr>
          <w:rFonts w:ascii="Times New Roman" w:hAnsi="Times New Roman"/>
          <w:color w:val="000000"/>
        </w:rPr>
        <w:t xml:space="preserve">Confirm the CRIME-Q appraisal workflow and calculate the planned Cohen’s kappa/disagreement rates, or describe the workflow that was actually completed.</w:t>
      </w:r>
    </w:p>
    <w:p>
      <w:pPr>
        <w:pStyle w:val="Compact"/>
        <w:widowControl/>
        <w:numPr>
          <w:ilvl w:val="0"/>
          <w:numId w:val="1034"/>
        </w:numPr>
      </w:pPr>
      <w:r>
        <w:rPr>
          <w:rFonts w:ascii="Times New Roman" w:hAnsi="Times New Roman"/>
          <w:color w:val="000000"/>
        </w:rPr>
        <w:t xml:space="preserve">Complete the agreed deviations-and-additions entry for lnVR and lnCVR, including its decision date and rationale. Check whether the ten unreported-outcome exclusions, exposure type, and control-condition moderator decisions also require entries.</w:t>
      </w:r>
    </w:p>
    <w:p>
      <w:pPr>
        <w:pStyle w:val="Compact"/>
        <w:widowControl/>
        <w:numPr>
          <w:ilvl w:val="0"/>
          <w:numId w:val="1034"/>
        </w:numPr>
      </w:pPr>
      <w:r>
        <w:rPr>
          <w:rFonts w:ascii="Times New Roman" w:hAnsi="Times New Roman"/>
          <w:color w:val="000000"/>
        </w:rPr>
        <w:t xml:space="preserve">Preserve</w:t>
      </w:r>
      <w:r>
        <w:rPr>
          <w:rFonts w:ascii="Times New Roman" w:hAnsi="Times New Roman"/>
          <w:color w:val="000000"/>
        </w:rPr>
        <w:t xml:space="preserve"> </w:t>
      </w:r>
      <w:r>
        <w:rPr>
          <w:rStyle w:val="VerbatimChar"/>
          <w:rFonts w:ascii="Times New Roman" w:hAnsi="Times New Roman"/>
          <w:color w:val="000000"/>
        </w:rPr>
        <w:t xml:space="preserve">gest_stage_ex</w:t>
      </w:r>
      <w:r>
        <w:rPr>
          <w:rFonts w:ascii="Times New Roman" w:hAnsi="Times New Roman"/>
          <w:color w:val="000000"/>
        </w:rPr>
        <w:t xml:space="preserve"> </w:t>
      </w:r>
      <w:r>
        <w:rPr>
          <w:rFonts w:ascii="Times New Roman" w:hAnsi="Times New Roman"/>
          <w:color w:val="000000"/>
        </w:rPr>
        <w:t xml:space="preserve">as the registered extracted/reported codebook field. Keep</w:t>
      </w:r>
      <w:r>
        <w:rPr>
          <w:rFonts w:ascii="Times New Roman" w:hAnsi="Times New Roman"/>
          <w:color w:val="000000"/>
        </w:rPr>
        <w:t xml:space="preserve"> </w:t>
      </w:r>
      <w:r>
        <w:rPr>
          <w:rStyle w:val="VerbatimChar"/>
          <w:rFonts w:ascii="Times New Roman" w:hAnsi="Times New Roman"/>
          <w:color w:val="000000"/>
        </w:rPr>
        <w:t xml:space="preserve">gest_stage_ex_standardised</w:t>
      </w:r>
      <w:r>
        <w:rPr>
          <w:rFonts w:ascii="Times New Roman" w:hAnsi="Times New Roman"/>
          <w:color w:val="000000"/>
        </w:rPr>
        <w:t xml:space="preserve"> </w:t>
      </w:r>
      <w:r>
        <w:rPr>
          <w:rFonts w:ascii="Times New Roman" w:hAnsi="Times New Roman"/>
          <w:color w:val="000000"/>
        </w:rPr>
        <w:t xml:space="preserve">explicitly identified as a derived analysis variable unless the team later approves a different name; do not call the derived variable the protocol codebook variable.</w:t>
      </w:r>
    </w:p>
    <w:p>
      <w:pPr>
        <w:pStyle w:val="Compact"/>
        <w:widowControl/>
        <w:numPr>
          <w:ilvl w:val="0"/>
          <w:numId w:val="1034"/>
        </w:numPr>
      </w:pPr>
      <w:r>
        <w:rPr>
          <w:rFonts w:ascii="Times New Roman" w:hAnsi="Times New Roman"/>
          <w:color w:val="000000"/>
        </w:rPr>
        <w:t xml:space="preserve">Confirm that the final dataset remains 187 lnRR effects from 16 studies and 175 lnVR effects from 14 studies.</w:t>
      </w:r>
    </w:p>
    <w:p>
      <w:pPr>
        <w:pStyle w:val="Compact"/>
        <w:widowControl/>
        <w:numPr>
          <w:ilvl w:val="0"/>
          <w:numId w:val="1034"/>
        </w:numPr>
      </w:pPr>
      <w:r>
        <w:rPr>
          <w:rFonts w:ascii="Times New Roman" w:hAnsi="Times New Roman"/>
          <w:color w:val="000000"/>
        </w:rPr>
        <w:t xml:space="preserve">Add numbers of independent studies to every moderator level. The current</w:t>
      </w:r>
      <w:r>
        <w:rPr>
          <w:rFonts w:ascii="Times New Roman" w:hAnsi="Times New Roman"/>
          <w:color w:val="000000"/>
        </w:rPr>
        <w:t xml:space="preserve"> </w:t>
      </w:r>
      <w:r>
        <w:rPr>
          <w:rFonts w:ascii="Times New Roman" w:hAnsi="Times New Roman"/>
          <w:i/>
          <w:iCs/>
          <w:color w:val="000000"/>
        </w:rPr>
        <w:t xml:space="preserve">k</w:t>
      </w:r>
      <w:r>
        <w:rPr>
          <w:rFonts w:ascii="Times New Roman" w:hAnsi="Times New Roman"/>
          <w:color w:val="000000"/>
        </w:rPr>
        <w:t xml:space="preserve"> </w:t>
      </w:r>
      <w:r>
        <w:rPr>
          <w:rFonts w:ascii="Times New Roman" w:hAnsi="Times New Roman"/>
          <w:color w:val="000000"/>
        </w:rPr>
        <w:t xml:space="preserve">≥ 5 rule alone can retain levels represented by only one or two studies.</w:t>
      </w:r>
    </w:p>
    <w:p>
      <w:pPr>
        <w:pStyle w:val="Compact"/>
        <w:widowControl/>
        <w:numPr>
          <w:ilvl w:val="0"/>
          <w:numId w:val="1034"/>
        </w:numPr>
      </w:pPr>
      <w:r>
        <w:rPr>
          <w:rFonts w:ascii="Times New Roman" w:hAnsi="Times New Roman"/>
          <w:color w:val="000000"/>
        </w:rPr>
        <w:t xml:space="preserve">Before changing the analysis, decide whether to add a formal minimum-study rule. My default recommendation is to retain the current models, label levels with fewer than three studies as sparsely replicated, and avoid strong pairwise inference from those levels.</w:t>
      </w:r>
    </w:p>
    <w:p>
      <w:pPr>
        <w:pStyle w:val="Compact"/>
        <w:widowControl/>
        <w:numPr>
          <w:ilvl w:val="0"/>
          <w:numId w:val="1034"/>
        </w:numPr>
      </w:pPr>
      <w:r>
        <w:rPr>
          <w:rFonts w:ascii="Times New Roman" w:hAnsi="Times New Roman"/>
          <w:color w:val="000000"/>
        </w:rPr>
        <w:t xml:space="preserve">Add a sensitivity analysis across plausible shared-outcome correlations (for example ρ = 0, 0.3, 0.5, 0.7, and 0.9) if feasible.</w:t>
      </w:r>
    </w:p>
    <w:p>
      <w:pPr>
        <w:pStyle w:val="Compact"/>
        <w:widowControl/>
        <w:numPr>
          <w:ilvl w:val="0"/>
          <w:numId w:val="1034"/>
        </w:numPr>
      </w:pPr>
      <w:r>
        <w:rPr>
          <w:rFonts w:ascii="Times New Roman" w:hAnsi="Times New Roman"/>
          <w:color w:val="000000"/>
        </w:rPr>
        <w:t xml:space="preserve">Correct the figure sequence from 1-5, 7-9 to 1-8.</w:t>
      </w:r>
    </w:p>
    <w:p>
      <w:pPr>
        <w:pStyle w:val="Compact"/>
        <w:widowControl/>
        <w:numPr>
          <w:ilvl w:val="0"/>
          <w:numId w:val="1034"/>
        </w:numPr>
      </w:pPr>
      <w:r>
        <w:rPr>
          <w:rFonts w:ascii="Times New Roman" w:hAnsi="Times New Roman"/>
          <w:color w:val="000000"/>
        </w:rPr>
        <w:t xml:space="preserve">Update software versions and numerical results only after the final render.</w:t>
      </w:r>
    </w:p>
    <w:bookmarkEnd w:id="66"/>
    <w:bookmarkStart w:id="67" w:name="prisma-production-note"/>
    <w:p>
      <w:pPr>
        <w:pStyle w:val="Heading1"/>
        <w:widowControl/>
      </w:pPr>
      <w:r>
        <w:rPr>
          <w:rFonts w:ascii="Times New Roman" w:hAnsi="Times New Roman"/>
          <w:color w:val="000000"/>
        </w:rPr>
        <w:t xml:space="preserve">PRISMA production note</w:t>
      </w:r>
    </w:p>
    <w:p>
      <w:pPr>
        <w:pStyle w:val="FirstParagraph"/>
        <w:widowControl/>
      </w:pPr>
      <w:r>
        <w:rPr>
          <w:rFonts w:ascii="Times New Roman" w:hAnsi="Times New Roman"/>
          <w:color w:val="000000"/>
        </w:rPr>
        <w:t xml:space="preserve">The existing PRISMA figure was not created in R. It was generated programmatically as an editable SVG and as a vector PDF with Python (</w:t>
      </w:r>
      <w:r>
        <w:rPr>
          <w:rStyle w:val="VerbatimChar"/>
          <w:rFonts w:ascii="Times New Roman" w:hAnsi="Times New Roman"/>
          <w:color w:val="000000"/>
        </w:rPr>
        <w:t xml:space="preserve">build_prisma_svg.py</w:t>
      </w:r>
      <w:r>
        <w:rPr>
          <w:rFonts w:ascii="Times New Roman" w:hAnsi="Times New Roman"/>
          <w:color w:val="000000"/>
        </w:rPr>
        <w:t xml:space="preserve"> </w:t>
      </w:r>
      <w:r>
        <w:rPr>
          <w:rFonts w:ascii="Times New Roman" w:hAnsi="Times New Roman"/>
          <w:color w:val="000000"/>
        </w:rPr>
        <w:t xml:space="preserve">and ReportLab). The counts are stored in</w:t>
      </w:r>
      <w:r>
        <w:rPr>
          <w:rFonts w:ascii="Times New Roman" w:hAnsi="Times New Roman"/>
          <w:color w:val="000000"/>
        </w:rPr>
        <w:t xml:space="preserve"> </w:t>
      </w:r>
      <w:r>
        <w:rPr>
          <w:rStyle w:val="VerbatimChar"/>
          <w:rFonts w:ascii="Times New Roman" w:hAnsi="Times New Roman"/>
          <w:color w:val="000000"/>
        </w:rPr>
        <w:t xml:space="preserve">outputs/prisma/PCN_PRISMA_screening_counts.docx</w:t>
      </w:r>
      <w:r>
        <w:rPr>
          <w:rFonts w:ascii="Times New Roman" w:hAnsi="Times New Roman"/>
          <w:color w:val="000000"/>
        </w:rPr>
        <w:t xml:space="preserve">. The SVG is the easiest source to revise while preserving sharp text and lines.</w:t>
      </w:r>
    </w:p>
    <w:bookmarkEnd w:id="67"/>
    <w:bookmarkEnd w:id="68"/>
    <w:sectPr>
      <w:headerReference w:type="default" r:id="rId9"/>
      <w:headerReference w:type="first" r:id="rId10"/>
      <w:footerReference w:type="default" r:id="rId11"/>
      <w:footerReference w:type="first" r:id="rId12"/>
      <w:footnotePr>
        <w:numRestart w:val="eachSect"/>
      </w:footnotePr>
      <w:pgSz w:w="12240" w:h="15840"/>
      <w:pgMar w:top="1440" w:right="1440" w:bottom="1440" w:left="1440" w:header="720" w:footer="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color w:val="000000"/>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before="0" w:after="120" w:line="276" w:lineRule="auto"/>
    </w:pPr>
    <w:rPr>
      <w:rFonts w:ascii="Times New Roman" w:hAnsi="Times New Roman"/>
      <w:b w:val="0"/>
      <w:i w:val="0"/>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keepLines/>
      <w:spacing w:after="80" w:line="240" w:lineRule="auto" w:before="0"/>
      <w:contextualSpacing/>
      <w:jc w:val="center"/>
    </w:pPr>
    <w:rPr>
      <w:rFonts w:asciiTheme="majorHAnsi" w:cstheme="majorBidi" w:eastAsiaTheme="majorEastAsia" w:hAnsiTheme="majorHAnsi" w:ascii="Times New Roman" w:hAnsi="Times New Roman"/>
      <w:b/>
      <w:i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keepLines/>
      <w:numPr>
        <w:ilvl w:val="1"/>
      </w:numPr>
      <w:spacing w:before="0" w:after="240" w:line="240" w:lineRule="auto"/>
    </w:pPr>
    <w:rPr>
      <w:rFonts w:cstheme="majorBidi" w:eastAsiaTheme="majorEastAsia" w:ascii="Times New Roman" w:hAnsi="Times New Roman"/>
      <w:b w:val="0"/>
      <w:i/>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240" w:line="240" w:lineRule="auto"/>
      <w:outlineLvl w:val="0"/>
    </w:pPr>
    <w:rPr>
      <w:rFonts w:asciiTheme="majorHAnsi" w:cstheme="majorBidi" w:eastAsiaTheme="majorEastAsia" w:hAnsiTheme="majorHAnsi" w:ascii="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40" w:lineRule="auto"/>
      <w:outlineLvl w:val="1"/>
    </w:pPr>
    <w:rPr>
      <w:rFonts w:asciiTheme="majorHAnsi" w:cstheme="majorBidi" w:eastAsiaTheme="majorEastAsia" w:hAnsiTheme="majorHAnsi" w:ascii="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60" w:line="240" w:lineRule="auto"/>
      <w:outlineLvl w:val="2"/>
    </w:pPr>
    <w:rPr>
      <w:rFonts w:cstheme="majorBidi" w:eastAsiaTheme="majorEastAsia" w:ascii="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cstheme="majorBidi" w:eastAsiaTheme="majorEastAsia" w:ascii="Times New Roman"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PCNE manuscript outline and Methods working draft</dc:title>
  <dc:creator/>
  <cp:keywords/>
  <dcterms:created xsi:type="dcterms:W3CDTF">2026-09-03T21:05:23Z</dcterms:created>
  <dcterms:modified xsi:type="dcterms:W3CDTF">2026-09-03T21:05:23Z</dcterms:modified>
  <dc:subject>Prenatal chronic noise exposure meta-analysis</dc:subject>
  <dc:description>Plain academic working format; black Times New Roman text; no tables or decorative colours.</dc:description>
</cp:coreProperties>
</file>

<file path=docProps/custom.xml><?xml version="1.0" encoding="utf-8"?>
<Properties xmlns="http://schemas.openxmlformats.org/officeDocument/2006/custom-properties" xmlns:vt="http://schemas.openxmlformats.org/officeDocument/2006/docPropsVTypes"/>
</file>