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240" w:after="80" w:line="240" w:lineRule="auto"/>
      </w:pPr>
      <w:r>
        <w:rPr>
          <w:rFonts w:ascii="Calibri" w:hAnsi="Calibri"/>
          <w:b/>
          <w:color w:val="000000"/>
          <w:sz w:val="46"/>
        </w:rPr>
        <w:t>PROTOCOL DEVIATION ADDENDUM</w:t>
      </w:r>
    </w:p>
    <w:p>
      <w:pPr>
        <w:keepNext w:val="0"/>
        <w:spacing w:before="0" w:after="320" w:line="240" w:lineRule="auto"/>
      </w:pPr>
      <w:r>
        <w:t>Offspring age classification and standardized acoustic frequency-range variable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000000"/>
          <w:sz w:val="22"/>
        </w:rPr>
        <w:t xml:space="preserve">Protocol: </w:t>
      </w:r>
      <w:r>
        <w:rPr>
          <w:rFonts w:ascii="Calibri" w:hAnsi="Calibri"/>
          <w:color w:val="000000"/>
          <w:sz w:val="22"/>
        </w:rPr>
        <w:t>PCNE protocol v4 (11 November 2025)</w:t>
      </w:r>
    </w:p>
    <w:p>
      <w:pPr>
        <w:keepNext w:val="0"/>
        <w:spacing w:before="0" w:after="40" w:line="240" w:lineRule="auto"/>
      </w:pPr>
      <w:r>
        <w:t>Initial decision date: 18 August 2026; updated: 28 August 2026</w:t>
      </w:r>
    </w:p>
    <w:p>
      <w:pPr>
        <w:keepNext w:val="0"/>
        <w:spacing w:before="0" w:after="40" w:line="240" w:lineRule="auto"/>
      </w:pPr>
      <w:r>
        <w:t>Status: Approved for the codebook and analysis preparation</w:t>
      </w:r>
    </w:p>
    <w:p>
      <w:pPr>
        <w:keepNext w:val="0"/>
        <w:spacing w:before="0" w:after="40" w:line="240" w:lineRule="auto"/>
      </w:pPr>
      <w:r>
        <w:t>Scope: Post-extraction classifications and variable naming; no change to eligibility, author-reported data, or effect-size calculations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1. Deviation and rationale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registered protocol specifies offspring age in days and identifies age or age class as a possible biological moderator, but it does not prespecify species- and sex-specific thresholds for an age-class variable. This addendum records the threshold rule approved after data extraction and before effect-size modelling.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Primary analysis decision: </w:t>
      </w:r>
      <w:r>
        <w:rPr>
          <w:rFonts w:ascii="Calibri" w:hAnsi="Calibri"/>
          <w:color w:val="000000"/>
          <w:sz w:val="22"/>
        </w:rPr>
        <w:t>offspring_age_d remains the continuous age moderator. The added offspring_age_class variable is restricted to descriptive summaries and sensitivity analyses. It will not replace offspring_age_d in the primary moderator model.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This is a classification decision rather than a correction to author-reported data. The reported or extracted offspring age remains unchanged.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2. Operational age classes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Thresholds follow the working postnatal stages summarized by Bell (2018). For the planned three-level variable, Bell’s peripubertal and late-adolescent stages are combined as adolescent. Adult begins after the upper bound of Bell’s late-adolescent stage.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1400"/>
        <w:gridCol w:w="1900"/>
        <w:gridCol w:w="2200"/>
        <w:gridCol w:w="2260"/>
      </w:tblGrid>
      <w:t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Species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Sex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Juvenile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Adolescent</w:t>
            </w:r>
          </w:p>
        </w:tc>
        <w:tc>
          <w:tcPr>
            <w:tcW w:type="dxa" w:w="2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Adult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Rat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Female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18-34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35-70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&gt;70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Rat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18-41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42-70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&gt;70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Mouse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Female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18-27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28-60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&gt;60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Mouse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Male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18-29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30-60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Calibri" w:hAnsi="Calibri"/>
                <w:color w:val="000000"/>
                <w:sz w:val="20"/>
              </w:rPr>
              <w:t>PND &gt;60</w:t>
            </w:r>
          </w:p>
        </w:tc>
      </w:tr>
    </w:tbl>
    <w:p>
      <w:pPr>
        <w:keepNext w:val="0"/>
        <w:spacing w:before="80" w:after="80" w:line="240" w:lineRule="auto"/>
      </w:pPr>
      <w:r>
        <w:rPr>
          <w:rFonts w:ascii="Calibri" w:hAnsi="Calibri"/>
          <w:b/>
          <w:color w:val="5F6978"/>
          <w:sz w:val="18"/>
        </w:rPr>
        <w:t xml:space="preserve">Source: </w:t>
      </w:r>
      <w:r>
        <w:rPr>
          <w:rFonts w:ascii="Calibri" w:hAnsi="Calibri"/>
          <w:color w:val="5F6978"/>
          <w:sz w:val="18"/>
        </w:rPr>
        <w:t>Bell 2018, Table 1; DOI 10.1210/en.2018-00220.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Mixed-sex rule: </w:t>
      </w:r>
      <w:r>
        <w:rPr>
          <w:rFonts w:ascii="Calibri" w:hAnsi="Calibri"/>
          <w:color w:val="000000"/>
          <w:sz w:val="22"/>
        </w:rPr>
        <w:t>classify a mixed-sex row only when the male and female rules give the same class at the recorded age. Otherwise code transitional_unclear and review it in sensitivity analysis.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Boundary rule: </w:t>
      </w:r>
      <w:r>
        <w:rPr>
          <w:rFonts w:ascii="Calibri" w:hAnsi="Calibri"/>
          <w:color w:val="000000"/>
          <w:sz w:val="22"/>
        </w:rPr>
        <w:t>the present database contains no offspring ages below PND 18. If a future row falls below PND 18, do not force it into juvenile; record it for a new prespecified decision. Bell notes that exact timing can vary by strain and environmental context.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Application to PCN v10: </w:t>
      </w:r>
      <w:r>
        <w:rPr>
          <w:rFonts w:ascii="Calibri" w:hAnsi="Calibri"/>
          <w:color w:val="000000"/>
          <w:sz w:val="22"/>
        </w:rPr>
        <w:t>52 effect sizes are juvenile, 78 adolescent, and 77 adult. No current row is transitional_unclear.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3. Codebook implementation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clean extraction file adds offspring_age_class immediately after offspring_age_d. The analysis-ready dataset retains gest_stage_ex as the registered extracted variable and adds gest_stage_ex_standardised as a derived analysis variable, using the approved labels early_mid, mid_late, late, and full_gestation.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measurement_variable is retained unchanged because it identifies the specific behavioural outcome. No independent-arm indicator is added because the control and exposed animals are distinct for every comparison; repeated measurements and shared groups will instead be represented by clustering identifiers in the derived analysis data.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original statistical names c_se and ex_se are restored for author-reported or directly extracted standard errors. Analysis-ready statistics use the _analysis suffix and contain the final values selected for modelling, including reproducible derivations where the author did not report the required statistic.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4. Standard-error provenance fields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c_se: </w:t>
      </w:r>
      <w:r>
        <w:rPr>
          <w:rFonts w:ascii="Calibri" w:hAnsi="Calibri"/>
          <w:color w:val="000000"/>
          <w:sz w:val="22"/>
        </w:rPr>
        <w:t>Control-group SE reported by the authors or directly extracted from the source; preserved unchanged.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c_se_analysis: </w:t>
      </w:r>
      <w:r>
        <w:rPr>
          <w:rFonts w:ascii="Calibri" w:hAnsi="Calibri"/>
          <w:color w:val="000000"/>
          <w:sz w:val="22"/>
        </w:rPr>
        <w:t>Final control-group SE selected for analysis. It equals c_se when reported and accepted; otherwise it is derived reproducibly.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c_se_derivation: </w:t>
      </w:r>
      <w:r>
        <w:rPr>
          <w:rFonts w:ascii="Calibri" w:hAnsi="Calibri"/>
          <w:color w:val="000000"/>
          <w:sz w:val="22"/>
        </w:rPr>
        <w:t>Method used to obtain or validate c_se_analysis.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 xml:space="preserve">c_se_source: </w:t>
      </w:r>
      <w:r>
        <w:rPr>
          <w:rFonts w:ascii="Calibri" w:hAnsi="Calibri"/>
          <w:color w:val="000000"/>
          <w:sz w:val="22"/>
        </w:rPr>
        <w:t>Text provenance for c_se_analysis: the exact paper table/figure, author file/email, or input source and derivation used. It is not a numeric SE and does not replace c_se.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The experimental-arm variables ex_se, ex_se_analysis, ex_se_derivation, and ex_se_source use the same definitions.</w:t>
      </w:r>
    </w:p>
    <w:p>
      <w:pPr>
        <w:pStyle w:val="Heading1"/>
        <w:keepNext/>
        <w:spacing w:before="320" w:after="160" w:line="240" w:lineRule="auto"/>
      </w:pPr>
      <w:r>
        <w:rPr>
          <w:rFonts w:ascii="Calibri" w:hAnsi="Calibri"/>
          <w:b/>
          <w:color w:val="2E74B5"/>
          <w:sz w:val="32"/>
        </w:rPr>
        <w:t>5. References retained for citation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Bell, M. R. (2018). Comparing postnatal development of gonadal hormones and associated social behaviors in rats, mice, and humans. Endocrinology, 159(7), 2596-2613. https://doi.org/10.1210/en.2018-00220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Moore, E. M., Linsenbardt, D. N., Melón, L. C., &amp; Boehm, S. L., II. (2011). Ontogenetic differences in adolescent and adult C57BL/6J and DBA/2J mice: Anxiety-like, locomotor, and consummatory behaviors. Developmental Psychobiology, 53(2), 141-156. https://doi.org/10.1002/dev.20501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000000"/>
          <w:sz w:val="22"/>
        </w:rPr>
        <w:t>Bell (2018) is the threshold authority for the operational rule. Moore et al. (2011) is retained as supporting context for mouse adolescence and behavioural testing across development.</w:t>
      </w:r>
    </w:p>
    <w:p>
      <w:pPr>
        <w:pStyle w:val="Heading1"/>
      </w:pPr>
      <w:r>
        <w:t>6. Standardized acoustic frequency-range variable</w:t>
      </w:r>
    </w:p>
    <w:p>
      <w:r>
        <w:t>The extraction database previously used noise_type_2 for a standardized classification with Audible, Ultrasound, and Unclear. The variable name did not state what these categories represented.</w:t>
      </w:r>
    </w:p>
    <w:p>
      <w:r>
        <w:t>Approved change: rename noise_type_2 to noise_frequency_range. The category values and classifications remain unchanged. This is a variable-name clarification and does not change eligibility, extracted values, effect sizes, VCV matrices, or model specifications.</w:t>
      </w:r>
    </w:p>
    <w:p>
      <w:r>
        <w:t>Codebook definition: Standardized acoustic frequency range of the exposure: Audible, Ultrasound, or Unclear. The uni-moderator analysis treats Unclear as missing rather than as a moderator level.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color w:val="5F6978"/>
        <w:sz w:val="18"/>
      </w:rPr>
      <w:t xml:space="preserve">PCNE | 2026-08-18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</w:pPr>
    <w:r>
      <w:rPr>
        <w:rFonts w:ascii="Calibri" w:hAnsi="Calibri"/>
        <w:b/>
        <w:color w:val="5F6978"/>
        <w:sz w:val="18"/>
      </w:rPr>
      <w:t>PCNE PROTOCOL DEVIATION ADDENDUM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PCNE Protocol Deviation Addendum: Offspring Age Classification</dc:title>
  <dc:subject>Approved offspring age thresholds and codebook definitions</dc:subject>
  <dc:creator>Anna Lenz</dc:creator>
  <cp:keywords>prenatal chronic noise; rodent; offspring age; protocol deviation; meta-analysis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