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240" w:after="80" w:line="240" w:lineRule="auto"/>
      </w:pPr>
      <w:r>
        <w:rPr>
          <w:rFonts w:ascii="Calibri" w:hAnsi="Calibri"/>
          <w:b/>
          <w:color w:val="000000"/>
          <w:sz w:val="46"/>
        </w:rPr>
        <w:t>PROTOCOL DEVIATION ADDENDUM</w:t>
      </w:r>
    </w:p>
    <w:p>
      <w:pPr>
        <w:keepNext w:val="0"/>
        <w:spacing w:before="0" w:after="320" w:line="240" w:lineRule="auto"/>
      </w:pPr>
      <w:r>
        <w:rPr>
          <w:rFonts w:ascii="Calibri" w:hAnsi="Calibri"/>
          <w:color w:val="373737"/>
          <w:sz w:val="28"/>
        </w:rPr>
        <w:t>Offspring age classification for descriptive and sensitivity analyses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000000"/>
          <w:sz w:val="22"/>
        </w:rPr>
        <w:t xml:space="preserve">Protocol: </w:t>
      </w:r>
      <w:r>
        <w:rPr>
          <w:rFonts w:ascii="Calibri" w:hAnsi="Calibri"/>
          <w:color w:val="000000"/>
          <w:sz w:val="22"/>
        </w:rPr>
        <w:t>PCNE protocol v4 (11 November 2025)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000000"/>
          <w:sz w:val="22"/>
        </w:rPr>
        <w:t xml:space="preserve">Decision date: </w:t>
      </w:r>
      <w:r>
        <w:rPr>
          <w:rFonts w:ascii="Calibri" w:hAnsi="Calibri"/>
          <w:color w:val="000000"/>
          <w:sz w:val="22"/>
        </w:rPr>
        <w:t>18 August 2026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000000"/>
          <w:sz w:val="22"/>
        </w:rPr>
        <w:t xml:space="preserve">Status: </w:t>
      </w:r>
      <w:r>
        <w:rPr>
          <w:rFonts w:ascii="Calibri" w:hAnsi="Calibri"/>
          <w:color w:val="000000"/>
          <w:sz w:val="22"/>
        </w:rPr>
        <w:t>Approved for the v10 codebook and analysis preparation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000000"/>
          <w:sz w:val="22"/>
        </w:rPr>
        <w:t xml:space="preserve">Scope: </w:t>
      </w:r>
      <w:r>
        <w:rPr>
          <w:rFonts w:ascii="Calibri" w:hAnsi="Calibri"/>
          <w:color w:val="000000"/>
          <w:sz w:val="22"/>
        </w:rPr>
        <w:t>Post-extraction classification; no change to eligibility, extraction, or the primary continuous age moderator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1. Deviation and rationale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registered protocol specifies offspring age in days and identifies age or age class as a possible biological moderator, but it does not prespecify species- and sex-specific thresholds for an age-class variable. This addendum records the threshold rule approved after data extraction and before effect-size modelling.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Primary analysis decision: </w:t>
      </w:r>
      <w:r>
        <w:rPr>
          <w:rFonts w:ascii="Calibri" w:hAnsi="Calibri"/>
          <w:color w:val="000000"/>
          <w:sz w:val="22"/>
        </w:rPr>
        <w:t>offspring_age_d remains the continuous age moderator. The added offspring_age_class variable is restricted to descriptive summaries and sensitivity analyses. It will not replace offspring_age_d in the primary moderator model.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This is a classification decision rather than a correction to author-reported data. The reported or extracted offspring age remains unchanged.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2. Operational age classes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Thresholds follow the working postnatal stages summarized by Bell (2018). For the planned three-level variable, Bell’s peripubertal and late-adolescent stages are combined as adolescent. Adult begins after the upper bound of Bell’s late-adolescent stage.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1400"/>
        <w:gridCol w:w="1900"/>
        <w:gridCol w:w="2200"/>
        <w:gridCol w:w="2260"/>
      </w:tblGrid>
      <w:t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Species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Sex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Juvenile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Adolescent</w:t>
            </w:r>
          </w:p>
        </w:tc>
        <w:tc>
          <w:tcPr>
            <w:tcW w:type="dxa" w:w="2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Adult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Rat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Female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18-34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35-70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&gt;70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Rat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18-41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42-70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&gt;70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Mouse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Female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18-27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28-60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&gt;60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Mouse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18-29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30-60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&gt;60</w:t>
            </w:r>
          </w:p>
        </w:tc>
      </w:tr>
    </w:tbl>
    <w:p>
      <w:pPr>
        <w:keepNext w:val="0"/>
        <w:spacing w:before="80" w:after="80" w:line="240" w:lineRule="auto"/>
      </w:pPr>
      <w:r>
        <w:rPr>
          <w:rFonts w:ascii="Calibri" w:hAnsi="Calibri"/>
          <w:b/>
          <w:color w:val="5F6978"/>
          <w:sz w:val="18"/>
        </w:rPr>
        <w:t xml:space="preserve">Source: </w:t>
      </w:r>
      <w:r>
        <w:rPr>
          <w:rFonts w:ascii="Calibri" w:hAnsi="Calibri"/>
          <w:color w:val="5F6978"/>
          <w:sz w:val="18"/>
        </w:rPr>
        <w:t>Bell 2018, Table 1; DOI 10.1210/en.2018-00220.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Mixed-sex rule: </w:t>
      </w:r>
      <w:r>
        <w:rPr>
          <w:rFonts w:ascii="Calibri" w:hAnsi="Calibri"/>
          <w:color w:val="000000"/>
          <w:sz w:val="22"/>
        </w:rPr>
        <w:t>classify a mixed-sex row only when the male and female rules give the same class at the recorded age. Otherwise code transitional_unclear and review it in sensitivity analysis.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Boundary rule: </w:t>
      </w:r>
      <w:r>
        <w:rPr>
          <w:rFonts w:ascii="Calibri" w:hAnsi="Calibri"/>
          <w:color w:val="000000"/>
          <w:sz w:val="22"/>
        </w:rPr>
        <w:t>the present database contains no offspring ages below PND 18. If a future row falls below PND 18, do not force it into juvenile; record it for a new prespecified decision. Bell notes that exact timing can vary by strain and environmental context.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Application to PCN v10: </w:t>
      </w:r>
      <w:r>
        <w:rPr>
          <w:rFonts w:ascii="Calibri" w:hAnsi="Calibri"/>
          <w:color w:val="000000"/>
          <w:sz w:val="22"/>
        </w:rPr>
        <w:t>52 effect sizes are juvenile, 78 adolescent, and 77 adult. No current row is transitional_unclear.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3. Codebook implementation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clean extraction file adds offspring_age_class immediately after offspring_age_d. It also renames gest_stage_ex_new to gest_window and uses the approved labels early_mid, mid_late, late, and full_gestation.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measurement_variable is retained unchanged because it identifies the specific behavioural outcome. No independent-arm indicator is added because the control and exposed animals are distinct for every comparison; repeated measurements and shared groups will instead be represented by clustering identifiers in the derived analysis data.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original statistical names c_se and ex_se are restored for author-reported or directly extracted standard errors. Analysis-ready statistics use the _analysis suffix and contain the final values selected for modelling, including reproducible derivations where the author did not report the required statistic.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4. Standard-error provenance fields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c_se: </w:t>
      </w:r>
      <w:r>
        <w:rPr>
          <w:rFonts w:ascii="Calibri" w:hAnsi="Calibri"/>
          <w:color w:val="000000"/>
          <w:sz w:val="22"/>
        </w:rPr>
        <w:t>Control-group SE reported by the authors or directly extracted from the source; preserved unchanged.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c_se_analysis: </w:t>
      </w:r>
      <w:r>
        <w:rPr>
          <w:rFonts w:ascii="Calibri" w:hAnsi="Calibri"/>
          <w:color w:val="000000"/>
          <w:sz w:val="22"/>
        </w:rPr>
        <w:t>Final control-group SE selected for analysis. It equals c_se when reported and accepted; otherwise it is derived reproducibly.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c_se_derivation: </w:t>
      </w:r>
      <w:r>
        <w:rPr>
          <w:rFonts w:ascii="Calibri" w:hAnsi="Calibri"/>
          <w:color w:val="000000"/>
          <w:sz w:val="22"/>
        </w:rPr>
        <w:t>Method used to obtain or validate c_se_analysis.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c_se_source: </w:t>
      </w:r>
      <w:r>
        <w:rPr>
          <w:rFonts w:ascii="Calibri" w:hAnsi="Calibri"/>
          <w:color w:val="000000"/>
          <w:sz w:val="22"/>
        </w:rPr>
        <w:t>Text provenance for c_se_analysis: the exact paper table/figure, author file/email, or input source and derivation used. It is not a numeric SE and does not replace c_se.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experimental-arm variables ex_se, ex_se_analysis, ex_se_derivation, and ex_se_source use the same definitions.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5. References retained for citation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Bell, M. R. (2018). Comparing postnatal development of gonadal hormones and associated social behaviors in rats, mice, and humans. Endocrinology, 159(7), 2596-2613. https://doi.org/10.1210/en.2018-00220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Moore, E. M., Linsenbardt, D. N., Melón, L. C., &amp; Boehm, S. L., II. (2011). Ontogenetic differences in adolescent and adult C57BL/6J and DBA/2J mice: Anxiety-like, locomotor, and consummatory behaviors. Developmental Psychobiology, 53(2), 141-156. https://doi.org/10.1002/dev.20501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Bell (2018) is the threshold authority for the operational rule. Moore et al. (2011) is retained as supporting context for mouse adolescence and behavioural testing across development.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color w:val="5F6978"/>
        <w:sz w:val="18"/>
      </w:rPr>
      <w:t xml:space="preserve">PCNE | 2026-08-18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/>
        <w:b/>
        <w:color w:val="5F6978"/>
        <w:sz w:val="18"/>
      </w:rPr>
      <w:t>PCNE PROTOCOL DEVIATION ADDENDUM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PCNE Protocol Deviation Addendum: Offspring Age Classification</dc:title>
  <dc:subject>Approved offspring age thresholds and codebook definitions</dc:subject>
  <dc:creator>Anna Lenz</dc:creator>
  <cp:keywords>prenatal chronic noise; rodent; offspring age; protocol deviation; meta-analysis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