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left="0" w:right="0"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          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          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TELEFONE (S)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E-MAIL 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CURSO 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TURMA: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>
                <w:rFonts w:cs="Arial" w:ascii="Arial" w:hAnsi="Arial"/>
              </w:rPr>
              <w:t>Título do projeto:</w:t>
            </w:r>
            <w:r>
              <w:rPr>
                <w:rFonts w:cs="Arial" w:ascii="Arial" w:hAnsi="Arial"/>
                <w:lang w:val="pt-PT"/>
              </w:rPr>
              <w:t xml:space="preserve"> Taverna Geek (e-commerce)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0" w:right="0" w:hanging="0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sz w:val="24"/>
                <w:szCs w:val="24"/>
                <w:lang w:val="pt-PT"/>
              </w:rPr>
              <w:t xml:space="preserve">O nosso projeto consiste em um e-commerce cujo o qual atua no ramo geek, vendendo produtos como jogos de tabuleiro, acessórios, decorações, mangás e livros. </w:t>
            </w:r>
          </w:p>
          <w:p>
            <w:pPr>
              <w:pStyle w:val="Normal"/>
              <w:keepNext w:val="false"/>
              <w:keepLines w:val="false"/>
              <w:widowControl/>
              <w:spacing w:lineRule="auto" w:line="360"/>
              <w:ind w:left="708" w:right="0" w:hanging="0"/>
              <w:jc w:val="both"/>
              <w:rPr/>
            </w:pP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>Mendes (2013, p.9) O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en-US" w:eastAsia="zh-CN" w:bidi="ar"/>
              </w:rPr>
              <w:t xml:space="preserve"> e-commerce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 xml:space="preserve"> é uma tecnologia que inovou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en-US" w:eastAsia="zh-CN" w:bidi="ar"/>
              </w:rPr>
              <w:t xml:space="preserve"> as transações de bens, serviços e informações realizadas entre empresas e indivíduos em ambiente eletrônico. Teve início nos Estados Unidos, em meados da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en-US" w:eastAsia="zh-CN" w:bidi="ar"/>
              </w:rPr>
              <w:t>década de 1990, sendo rapidamente propagado para a Europa e demais localidades do mundo.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en-US" w:eastAsia="zh-CN" w:bidi="ar"/>
              </w:rPr>
              <w:t>Devido a sua rápida expansão, o comércio eletrônico tem se mostrado um mercado de intenso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en-US" w:eastAsia="zh-CN" w:bidi="ar"/>
              </w:rPr>
              <w:t>crescimento, principalmente na última década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>.</w:t>
            </w:r>
          </w:p>
          <w:p>
            <w:pPr>
              <w:pStyle w:val="Normal"/>
              <w:keepNext w:val="false"/>
              <w:keepLines w:val="false"/>
              <w:widowControl/>
              <w:spacing w:lineRule="auto" w:line="360"/>
              <w:ind w:left="0" w:right="0" w:hanging="0"/>
              <w:jc w:val="both"/>
              <w:rPr/>
            </w:pPr>
            <w:r>
              <w:rPr>
                <w:rFonts w:eastAsia="sans-serif" w:cs="Arial" w:ascii="Arial" w:hAnsi="Arial"/>
                <w:kern w:val="0"/>
                <w:sz w:val="24"/>
                <w:szCs w:val="24"/>
                <w:lang w:val="en-US" w:eastAsia="zh-CN" w:bidi="ar"/>
              </w:rPr>
              <w:t xml:space="preserve">O 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pt-PT" w:eastAsia="zh-CN" w:bidi="ar"/>
              </w:rPr>
              <w:t xml:space="preserve">crescimento 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en-US" w:eastAsia="zh-CN" w:bidi="ar"/>
              </w:rPr>
              <w:t>desse mercado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pt-PT" w:eastAsia="zh-CN" w:bidi="ar"/>
              </w:rPr>
              <w:t xml:space="preserve"> ocorre, principalmente,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pt-PT" w:eastAsia="zh-CN" w:bidi="ar"/>
              </w:rPr>
              <w:t xml:space="preserve">após 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en-US" w:eastAsia="zh-CN" w:bidi="ar"/>
              </w:rPr>
              <w:t>a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pt-PT" w:eastAsia="zh-CN" w:bidi="ar"/>
              </w:rPr>
              <w:t xml:space="preserve"> pandemia,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en-US" w:eastAsia="zh-CN" w:bidi="ar"/>
              </w:rPr>
              <w:t xml:space="preserve"> ao aumento da confiança dos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pt-PT" w:eastAsia="zh-CN" w:bidi="ar"/>
              </w:rPr>
              <w:t xml:space="preserve"> compradores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en-US" w:eastAsia="zh-CN" w:bidi="ar"/>
              </w:rPr>
              <w:t xml:space="preserve"> nesse tipo de comércio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pt-PT" w:eastAsia="zh-CN" w:bidi="ar"/>
              </w:rPr>
              <w:t xml:space="preserve">, 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en-US" w:eastAsia="zh-CN" w:bidi="ar"/>
              </w:rPr>
              <w:t>maio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pt-PT" w:eastAsia="zh-CN" w:bidi="ar"/>
              </w:rPr>
              <w:t>r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en-US" w:eastAsia="zh-CN" w:bidi="ar"/>
              </w:rPr>
              <w:t xml:space="preserve"> acess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pt-PT" w:eastAsia="zh-CN" w:bidi="ar"/>
              </w:rPr>
              <w:t>ibilidade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en-US" w:eastAsia="zh-CN" w:bidi="ar"/>
              </w:rPr>
              <w:t xml:space="preserve"> à internet e aos benefícios que tanto empresas quanto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pt-PT" w:eastAsia="zh-CN" w:bidi="ar"/>
              </w:rPr>
              <w:t xml:space="preserve"> 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en-US" w:eastAsia="zh-CN" w:bidi="ar"/>
              </w:rPr>
              <w:t>consumidores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pt-PT" w:eastAsia="zh-CN" w:bidi="ar"/>
              </w:rPr>
              <w:t xml:space="preserve"> 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en-US" w:eastAsia="zh-CN" w:bidi="ar"/>
              </w:rPr>
              <w:t>obtêm ao utilizá-lo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pt-PT" w:eastAsia="zh-CN" w:bidi="ar"/>
              </w:rPr>
              <w:t>, como a praticidade, agilidade e o custo benefício.</w:t>
            </w:r>
          </w:p>
          <w:p>
            <w:pPr>
              <w:pStyle w:val="Normal"/>
              <w:keepNext w:val="false"/>
              <w:keepLines w:val="false"/>
              <w:widowControl/>
              <w:spacing w:lineRule="auto" w:line="360"/>
              <w:ind w:left="708" w:right="0" w:hanging="0"/>
              <w:jc w:val="both"/>
              <w:rPr/>
            </w:pP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 xml:space="preserve">(BAUMAN, 2001; LÉVY, 1996) Para o desenvolvimento deste texto partimos da compreensão de que vivemos em uma época em que emerge todo um conjunto de desenvolvimentos tecnológicos relacionados aos meios de comunicação eletrônicos e às tecnologias digitais e virtuais que estariam mudando a forma como vivemos. 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en-US" w:eastAsia="zh-CN" w:bidi="ar"/>
              </w:rPr>
              <w:t>(MAFFESOLI, 2010)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 xml:space="preserve"> N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en-US" w:eastAsia="zh-CN" w:bidi="ar"/>
              </w:rPr>
              <w:t>este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en-US" w:eastAsia="zh-CN" w:bidi="ar"/>
              </w:rPr>
              <w:t>contexto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en-US" w:eastAsia="zh-CN" w:bidi="ar"/>
              </w:rPr>
              <w:t>surgiram grupos culturais juvenis cujos integrantes têm sido referidos como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en-US" w:eastAsia="zh-CN" w:bidi="ar"/>
              </w:rPr>
              <w:t>nerd/geek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 xml:space="preserve">, 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en-US" w:eastAsia="zh-CN" w:bidi="ar"/>
              </w:rPr>
              <w:t>onde relatam de que o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en-US" w:eastAsia="zh-CN" w:bidi="ar"/>
              </w:rPr>
              <w:t>pertencimento de grupo passa pelo uso de artefatos tecnológicos,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en-US" w:eastAsia="zh-CN" w:bidi="ar"/>
              </w:rPr>
              <w:t>pelas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en-US" w:eastAsia="zh-CN" w:bidi="ar"/>
              </w:rPr>
              <w:t>formas de apropriação de saberes e pelas formas de se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en-US" w:eastAsia="zh-CN" w:bidi="ar"/>
              </w:rPr>
              <w:t>divertir com filmes de ficção científica, histórias em quadrinho, seriados de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en-US" w:eastAsia="zh-CN" w:bidi="ar"/>
              </w:rPr>
              <w:t>TV, jogos,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en-US" w:eastAsia="zh-CN" w:bidi="ar"/>
              </w:rPr>
              <w:t>entre outros artefatos culturais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>.</w:t>
            </w:r>
          </w:p>
          <w:p>
            <w:pPr>
              <w:pStyle w:val="Normal"/>
              <w:keepNext w:val="false"/>
              <w:keepLines w:val="false"/>
              <w:widowControl/>
              <w:spacing w:lineRule="auto" w:line="360"/>
              <w:ind w:left="0" w:right="0" w:hanging="0"/>
              <w:jc w:val="both"/>
              <w:rPr>
                <w:rFonts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</w:pP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</w:r>
          </w:p>
          <w:p>
            <w:pPr>
              <w:pStyle w:val="Normal"/>
              <w:keepNext w:val="false"/>
              <w:keepLines w:val="false"/>
              <w:widowControl/>
              <w:spacing w:lineRule="auto" w:line="360"/>
              <w:ind w:left="0" w:right="0" w:hanging="0"/>
              <w:jc w:val="both"/>
              <w:rPr>
                <w:rFonts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eastAsia="sans-serif" w:cs="Arial" w:ascii="Arial" w:hAnsi="Arial"/>
                <w:kern w:val="0"/>
                <w:sz w:val="24"/>
                <w:szCs w:val="24"/>
                <w:lang w:val="pt-PT" w:eastAsia="zh-CN" w:bidi="ar"/>
              </w:rPr>
              <w:t>Com a pesquisa sobre esses  grupos, percebemos um avanço significativo sobre a presença deles na sociedade, o que tornou oportuno tê-los como público alvo. Com isso, analisamos também os produtos mais consumidos relacionados à essa comunidade como jogos de tabuleiro, itens de decoração, acessórios, livros, mangás e histórias em quadrinho.</w:t>
            </w:r>
          </w:p>
          <w:p>
            <w:pPr>
              <w:pStyle w:val="Normal"/>
              <w:widowControl/>
              <w:spacing w:lineRule="auto" w:line="360"/>
              <w:ind w:left="0" w:right="0" w:hanging="0"/>
              <w:jc w:val="both"/>
              <w:rPr>
                <w:rFonts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</w:pPr>
            <w:bookmarkStart w:id="0" w:name="_GoBack"/>
            <w:bookmarkEnd w:id="0"/>
            <w:r>
              <w:rPr>
                <w:rFonts w:eastAsia="sans-serif" w:cs="Arial" w:ascii="Arial" w:hAnsi="Arial"/>
                <w:kern w:val="0"/>
                <w:sz w:val="24"/>
                <w:szCs w:val="24"/>
                <w:lang w:val="pt-PT" w:eastAsia="zh-CN" w:bidi="ar"/>
              </w:rPr>
              <w:t>O consumo médio dos produtos geek é aproximadamente 40% superior ao do mercado nacional, onde movimentam bilhões de reais anualmente.</w:t>
            </w:r>
          </w:p>
          <w:p>
            <w:pPr>
              <w:pStyle w:val="Normal"/>
              <w:widowControl/>
              <w:spacing w:lineRule="auto" w:line="360"/>
              <w:ind w:left="708" w:right="0" w:hanging="0"/>
              <w:jc w:val="both"/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</w:pPr>
            <w:r>
              <w:rPr>
                <w:rFonts w:eastAsia="sans-serif" w:cs="Arial" w:ascii="Arial" w:hAnsi="Arial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0"/>
                <w:szCs w:val="20"/>
                <w:lang w:val="pt-PT" w:eastAsia="zh-CN" w:bidi="ar"/>
              </w:rPr>
              <w:t xml:space="preserve">(Lopes, </w:t>
            </w:r>
            <w:r>
              <w:rPr>
                <w:rFonts w:eastAsia="sans-serif" w:cs="Arial" w:ascii="Arial" w:hAnsi="Arial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0"/>
                <w:szCs w:val="20"/>
                <w:lang w:val="pt-PT" w:eastAsia="zh-CN" w:bidi="ar"/>
              </w:rPr>
              <w:t xml:space="preserve">2013) </w:t>
            </w:r>
            <w:r>
              <w:rPr>
                <w:rFonts w:eastAsia="sans-serif" w:cs="Arial" w:ascii="Arial" w:hAnsi="Arial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0"/>
                <w:szCs w:val="20"/>
                <w:lang w:val="pt-PT" w:eastAsia="zh-CN" w:bidi="ar"/>
              </w:rPr>
              <w:t>os jogos de Tabuleiro são artefactos que acompanham a humanidade desde as civilizações mais antigas. Objetos de coleção, entretenimento e de educação, são também simula- ções de práticas sociais. Ao longo da evolução tecnológica, os Jogos de Tabuleiro tornaram-se visualmente complexos, utilizando diferentes mecanismos gráficos para comunicar com o jogador a sua mecânica de jogo. A existência de vários símbolos/signos gráficos no objeto de estudo, torna possível a sua integração como tema de investigação no campo de trabalho do Design de Comunicação, na medida que a sua função é essencial, para que a mecânica do jogo possa ser entendida e operacionalizada corretamente pelos indivíduos. Deste modo, o tabuleiro de um jogo é um suporte gráfico, com o qual o jogador interage e onde a informação da mecânica é transmitida visualmente através de um pequeno conjunto de regras. Este suporte, comporta necessariamente um conjunto de elementos visuais que tornam a mensagem visível, sendo esta constituída por várias camadas de informação.</w:t>
            </w:r>
          </w:p>
          <w:p>
            <w:pPr>
              <w:pStyle w:val="Normal"/>
              <w:widowControl/>
              <w:spacing w:lineRule="auto" w:line="360"/>
              <w:ind w:left="0" w:right="0" w:hanging="0"/>
              <w:jc w:val="both"/>
              <w:rPr>
                <w:rFonts w:ascii="Arial" w:hAnsi="Arial" w:eastAsia="sans-serif" w:cs="Arial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eastAsia="sans-serif" w:cs="Arial" w:ascii="Arial" w:hAnsi="Arial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  <w:szCs w:val="24"/>
                <w:lang w:val="pt-PT" w:eastAsia="zh-CN" w:bidi="ar"/>
              </w:rPr>
              <w:t>Os jogos de tabuleiro servem de estímulo psicológico para pessoas de todas as faixa etárias, e, também, contribuem no desenvolvimento de relações e comunicação com os outros.</w:t>
            </w:r>
          </w:p>
          <w:p>
            <w:pPr>
              <w:pStyle w:val="Normal"/>
              <w:keepNext w:val="false"/>
              <w:keepLines w:val="false"/>
              <w:widowControl/>
              <w:spacing w:lineRule="auto" w:line="360"/>
              <w:ind w:left="0" w:right="0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Uma maneira de deixar o seu ambiante mais moderno e aconchegante é investindo em acessórios geek.</w:t>
            </w:r>
          </w:p>
          <w:p>
            <w:pPr>
              <w:pStyle w:val="Normal"/>
              <w:keepNext w:val="false"/>
              <w:keepLines w:val="false"/>
              <w:widowControl/>
              <w:spacing w:lineRule="auto" w:line="360"/>
              <w:ind w:left="0" w:right="0" w:hanging="0"/>
              <w:jc w:val="both"/>
              <w:rPr>
                <w:rFonts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</w:pP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/>
              <w:spacing w:lineRule="auto" w:line="360"/>
              <w:ind w:left="0" w:right="0" w:hanging="0"/>
              <w:jc w:val="both"/>
              <w:rPr>
                <w:rFonts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eastAsia="sans-serif" w:cs="Arial" w:ascii="Arial" w:hAnsi="Arial"/>
                <w:kern w:val="0"/>
                <w:sz w:val="24"/>
                <w:szCs w:val="24"/>
                <w:lang w:val="pt-PT" w:eastAsia="zh-CN" w:bidi="ar"/>
              </w:rPr>
            </w:r>
          </w:p>
          <w:p>
            <w:pPr>
              <w:pStyle w:val="Normal"/>
              <w:keepNext w:val="false"/>
              <w:keepLines w:val="false"/>
              <w:widowControl/>
              <w:spacing w:lineRule="auto" w:line="360"/>
              <w:ind w:left="0" w:right="0" w:hanging="0"/>
              <w:jc w:val="both"/>
              <w:rPr>
                <w:rFonts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eastAsia="sans-serif" w:cs="Arial" w:ascii="Arial" w:hAnsi="Arial"/>
                <w:kern w:val="0"/>
                <w:sz w:val="24"/>
                <w:szCs w:val="24"/>
                <w:lang w:val="pt-PT" w:eastAsia="zh-CN" w:bidi="ar"/>
              </w:rPr>
            </w:r>
          </w:p>
          <w:p>
            <w:pPr>
              <w:pStyle w:val="Normal"/>
              <w:keepNext w:val="false"/>
              <w:keepLines w:val="false"/>
              <w:widowControl/>
              <w:spacing w:lineRule="auto" w:line="360"/>
              <w:ind w:left="0" w:right="0" w:hanging="0"/>
              <w:jc w:val="both"/>
              <w:rPr>
                <w:rFonts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eastAsia="sans-serif" w:cs="Arial" w:ascii="Arial" w:hAnsi="Arial"/>
                <w:kern w:val="0"/>
                <w:sz w:val="24"/>
                <w:szCs w:val="24"/>
                <w:lang w:val="en-US" w:eastAsia="zh-CN" w:bidi="ar"/>
              </w:rPr>
            </w:r>
          </w:p>
          <w:p>
            <w:pPr>
              <w:pStyle w:val="Normal"/>
              <w:keepNext w:val="false"/>
              <w:keepLines w:val="false"/>
              <w:widowControl/>
              <w:spacing w:lineRule="auto" w:line="360"/>
              <w:ind w:left="0" w:right="0" w:hanging="0"/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cs="Arial" w:ascii="Arial" w:hAnsi="Arial"/>
                <w:sz w:val="20"/>
                <w:szCs w:val="20"/>
                <w:lang w:val="pt-PT"/>
              </w:rPr>
            </w:r>
          </w:p>
          <w:p>
            <w:pPr>
              <w:pStyle w:val="Normal"/>
              <w:spacing w:before="0" w:after="160"/>
              <w:ind w:left="0" w:right="0" w:hanging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sz w:val="24"/>
                <w:szCs w:val="24"/>
                <w:lang w:val="pt-PT"/>
              </w:rPr>
            </w:r>
          </w:p>
        </w:tc>
      </w:tr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sz w:val="24"/>
                <w:szCs w:val="24"/>
                <w:lang w:val="pt-PT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Descrever os fatos que motivaram e os problemas que o mesmo irá sanar com a realização e desenvolvimento do trabalho.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0"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/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pStyle w:val="Normal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jc w:val="left"/>
              <w:rPr/>
            </w:pPr>
            <w:r>
              <w:rPr>
                <w:rFonts w:eastAsia="SimSun" w:cs="SimSun" w:ascii="arial" w:hAnsi="arial"/>
                <w:kern w:val="0"/>
                <w:sz w:val="24"/>
                <w:szCs w:val="24"/>
                <w:lang w:val="en-US" w:eastAsia="zh-CN" w:bidi="ar"/>
              </w:rPr>
              <w:t>MENDES, Laura Zimmermann Ramayana. E-commerce: origem, desenvolvimento e perspectivas. 2013</w:t>
            </w:r>
            <w:r>
              <w:rPr>
                <w:rFonts w:eastAsia="SimSun" w:cs="SimSun" w:ascii="SimSun" w:hAnsi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  <w:p>
            <w:pPr>
              <w:pStyle w:val="Normal"/>
              <w:widowControl/>
              <w:ind w:left="0" w:right="0" w:hanging="0"/>
              <w:jc w:val="left"/>
              <w:rPr>
                <w:rFonts w:ascii="arial" w:hAnsi="arial" w:eastAsia="SimSun" w:cs="SimSun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eastAsia="SimSun" w:cs="SimSun" w:ascii="arial" w:hAnsi="arial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BICCA, Angela Dillmann Nunes et al. Identidades Nerd/Geek na web: um estudo sobre pedagogias culturais e culturas juvenis. Conjectura: Filos. Educ., Caxias do Sul, v. 18, n. 1, p. 87-104, 2013.</w:t>
            </w:r>
          </w:p>
          <w:p>
            <w:pPr>
              <w:pStyle w:val="Normal"/>
              <w:widowControl/>
              <w:ind w:left="0" w:right="0" w:hanging="0"/>
              <w:jc w:val="left"/>
              <w:rPr>
                <w:rFonts w:ascii="Arial;sans-serif" w:hAnsi="Arial;sans-serif" w:eastAsia="SimSun" w:cs="SimSun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eastAsia="SimSun" w:cs="SimSun" w:ascii="Arial;sans-serif" w:hAnsi="Arial;sans-serif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LOPES, Diogo. Jogos de Tabuleiro-estudo dos sistemas visuais. 2013. Tese de Doutorado.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/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/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4"/>
        <w:gridCol w:w="1744"/>
      </w:tblGrid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Célia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Reinaldo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Helvetica Neue">
    <w:altName w:val="Helvetica"/>
    <w:charset w:val="01"/>
    <w:family w:val="auto"/>
    <w:pitch w:val="default"/>
  </w:font>
  <w:font w:name="arial">
    <w:charset w:val="01"/>
    <w:family w:val="swiss"/>
    <w:pitch w:val="default"/>
  </w:font>
  <w:font w:name="SimSun">
    <w:charset w:val="01"/>
    <w:family w:val="roman"/>
    <w:pitch w:val="variable"/>
  </w:font>
  <w:font w:name="Arial">
    <w:altName w:val="sans-serif"/>
    <w:charset w:val="01"/>
    <w:family w:val="auto"/>
    <w:pitch w:val="default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61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79"/>
      <w:gridCol w:w="5528"/>
      <w:gridCol w:w="1554"/>
    </w:tblGrid>
    <w:tr>
      <w:trPr>
        <w:trHeight w:val="1550" w:hRule="atLeast"/>
      </w:trPr>
      <w:tc>
        <w:tcPr>
          <w:tcW w:w="19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alho"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cs="Arial"/>
              <w:b/>
              <w:b/>
              <w:color w:val="000000"/>
              <w:w w:val="150"/>
              <w:sz w:val="15"/>
              <w:szCs w:val="15"/>
            </w:rPr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</w:r>
        </w:p>
        <w:p>
          <w:pPr>
            <w:pStyle w:val="Cabealho"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cs="Arial"/>
              <w:b/>
              <w:b/>
              <w:color w:val="000000"/>
              <w:w w:val="150"/>
              <w:sz w:val="15"/>
              <w:szCs w:val="15"/>
            </w:rPr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Cabealho"/>
            <w:spacing w:lineRule="auto" w:line="240" w:before="0" w:after="0"/>
            <w:jc w:val="center"/>
            <w:rPr>
              <w:rFonts w:cs="Arial"/>
              <w:b/>
              <w:b/>
              <w:color w:val="000000"/>
              <w:w w:val="150"/>
              <w:sz w:val="15"/>
              <w:szCs w:val="15"/>
            </w:rPr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Cabealho"/>
            <w:spacing w:lineRule="auto" w:line="240" w:before="0" w:after="0"/>
            <w:jc w:val="center"/>
            <w:rPr>
              <w:rFonts w:cs="Arial"/>
              <w:b/>
              <w:b/>
              <w:color w:val="000000"/>
              <w:sz w:val="15"/>
              <w:szCs w:val="15"/>
            </w:rPr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Cabealho"/>
            <w:spacing w:lineRule="auto" w:line="240" w:before="0" w:after="0"/>
            <w:jc w:val="center"/>
            <w:rPr>
              <w:rFonts w:cs="Arial"/>
              <w:b/>
              <w:b/>
              <w:color w:val="000000"/>
              <w:sz w:val="15"/>
              <w:szCs w:val="15"/>
            </w:rPr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Cabealho"/>
            <w:pBdr>
              <w:bottom w:val="single" w:sz="12" w:space="1" w:color="000000"/>
            </w:pBdr>
            <w:spacing w:lineRule="auto" w:line="240" w:before="0" w:after="0"/>
            <w:jc w:val="center"/>
            <w:rPr/>
          </w:pPr>
          <w:hyperlink r:id="rId2">
            <w:r>
              <w:rPr>
                <w:rStyle w:val="LinkdaInternet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>
            <w:r>
              <w:rPr>
                <w:rStyle w:val="LinkdaInternet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object w:dxaOrig="2835" w:dyaOrig="2835">
              <v:shape id="ole_rId4" style="width:50.15pt;height:38.2pt" o:ole="">
                <v:imagedata r:id="rId5" o:title=""/>
              </v:shape>
              <o:OLEObject Type="Embed" ProgID="" ShapeID="ole_rId4" DrawAspect="Content" ObjectID="_1929817879" r:id="rId4"/>
            </w:object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Recuodecorpodetexto3Char">
    <w:name w:val="Recuo de corpo de texto 3 Char"/>
    <w:qFormat/>
    <w:rPr>
      <w:rFonts w:ascii="Arial" w:hAnsi="Arial" w:eastAsia="Times New Roman" w:cs="Arial"/>
      <w:sz w:val="24"/>
    </w:rPr>
  </w:style>
  <w:style w:type="character" w:styleId="CabealhoChar">
    <w:name w:val="Cabeçalho Char"/>
    <w:qFormat/>
    <w:rPr>
      <w:rFonts w:eastAsia="Times New Roman" w:cs="Calibri"/>
      <w:sz w:val="22"/>
      <w:szCs w:val="22"/>
    </w:rPr>
  </w:style>
  <w:style w:type="character" w:styleId="TextodebaloChar">
    <w:name w:val="Texto de balão Char"/>
    <w:qFormat/>
    <w:rPr>
      <w:rFonts w:ascii="Tahoma" w:hAnsi="Tahoma" w:eastAsia="Times New Roman" w:cs="Tahoma"/>
      <w:sz w:val="16"/>
      <w:szCs w:val="16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RodapChar">
    <w:name w:val="Rodapé Char"/>
    <w:qFormat/>
    <w:rPr>
      <w:rFonts w:eastAsia="Times New Roman" w:cs="Calibri"/>
      <w:sz w:val="22"/>
      <w:szCs w:val="22"/>
    </w:rPr>
  </w:style>
  <w:style w:type="character" w:styleId="WW8Num1z0">
    <w:name w:val="WW8Num1z0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Fontepargpadro1">
    <w:name w:val="Fonte parág. padrão1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Ttulo1">
    <w:name w:val="Título1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Recuodecorpodetexto31">
    <w:name w:val="Recuo de corpo de texto 31"/>
    <w:basedOn w:val="Normal"/>
    <w:qFormat/>
    <w:pPr>
      <w:widowControl w:val="false"/>
      <w:spacing w:lineRule="auto" w:line="360"/>
      <w:ind w:left="1701" w:right="0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>
    <w:name w:val="Texto de balão1"/>
    <w:basedOn w:val="Normal"/>
    <w:qFormat/>
    <w:pPr/>
    <w:rPr>
      <w:rFonts w:ascii="Tahoma" w:hAnsi="Tahoma" w:cs="Times New Roman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ceepcascavel.com.br/" TargetMode="External"/><Relationship Id="rId3" Type="http://schemas.openxmlformats.org/officeDocument/2006/relationships/hyperlink" Target="mailto:ceep@nrecascavel.com" TargetMode="External"/><Relationship Id="rId4" Type="http://schemas.openxmlformats.org/officeDocument/2006/relationships/oleObject" Target="embeddings/oleObject1.bin"/><Relationship Id="rId5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LibreOffice/6.4.7.2$Linux_X86_64 LibreOffice_project/40$Build-2</Application>
  <Pages>6</Pages>
  <Words>781</Words>
  <Characters>4495</Characters>
  <CharactersWithSpaces>5469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2023-02-12T06:59:00Z</dcterms:created>
  <dc:creator>740.ch sg2</dc:creator>
  <dc:description/>
  <dc:language>pt-BR</dc:language>
  <cp:lastModifiedBy/>
  <cp:lastPrinted>2013-03-13T10:42:00Z</cp:lastPrinted>
  <dcterms:modified xsi:type="dcterms:W3CDTF">2023-09-06T18:17:55Z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1046-11.1.0.11691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