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72" w:type="dxa"/>
        <w:tblInd w:w="10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spacing w:before="0" w:after="160"/>
              <w:jc w:val="center"/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left="0" w:right="0" w:firstLine="426"/>
        <w:rPr>
          <w:rFonts w:ascii="Arial" w:hAnsi="Arial" w:cs="Arial"/>
        </w:rPr>
      </w:pPr>
    </w:p>
    <w:tbl>
      <w:tblPr>
        <w:tblStyle w:val="3"/>
        <w:tblW w:w="9072" w:type="dxa"/>
        <w:tblInd w:w="10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 xml:space="preserve">Anna laura Meregali                                                        </w:t>
            </w:r>
            <w:r>
              <w:rPr>
                <w:rFonts w:ascii="Arial" w:hAnsi="Arial" w:cs="Arial"/>
              </w:rPr>
              <w:t>Nº</w:t>
            </w:r>
            <w:r>
              <w:rPr>
                <w:rFonts w:hint="default" w:ascii="Arial" w:hAnsi="Arial" w:cs="Arial"/>
                <w:lang w:val="pt-PT"/>
              </w:rPr>
              <w:t xml:space="preserve"> 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 xml:space="preserve">Alexandre Biato                                                              </w:t>
            </w:r>
            <w:r>
              <w:rPr>
                <w:rFonts w:ascii="Arial" w:hAnsi="Arial" w:cs="Arial"/>
              </w:rPr>
              <w:t>Nº</w:t>
            </w:r>
            <w:r>
              <w:rPr>
                <w:rFonts w:hint="default" w:ascii="Arial" w:hAnsi="Arial" w:cs="Arial"/>
                <w:lang w:val="pt-PT"/>
              </w:rPr>
              <w:t xml:space="preserve"> 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NOME: Caio Bogo                                                                       Nº 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NOME: Geovana mendes                                                            Nº 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NOME: João Guilherme                                                                Nº 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NOME: Matheus Eduardo                                                             Nº 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NOME: Rafaela Gazoni                                                                 Nº25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hint="default" w:ascii="Arial" w:hAnsi="Arial" w:cs="Arial"/>
                <w:lang w:val="pt-PT"/>
              </w:rPr>
              <w:t>: anna.meregali@escola.pr.gov.br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hint="default" w:ascii="Arial" w:hAnsi="Arial" w:cs="Arial"/>
                <w:lang w:val="pt-PT"/>
              </w:rPr>
              <w:t>: 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2º i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10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Taverna Geek (e-commerce)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10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0" w:right="0" w:firstLine="0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 xml:space="preserve">O nosso projeto consiste em um e-commerce cujo o qual atua no ramo geek, vendendo produtos como jogos de tabuleiro, acessórios, decorações, mangás e livros. </w:t>
            </w:r>
          </w:p>
          <w:p>
            <w:pPr>
              <w:keepNext w:val="0"/>
              <w:keepLines w:val="0"/>
              <w:widowControl/>
              <w:spacing w:line="360" w:lineRule="auto"/>
              <w:ind w:left="708" w:right="0" w:firstLine="0"/>
              <w:jc w:val="both"/>
            </w:pPr>
            <w:r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>Mendes (2013, p.9) O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 xml:space="preserve"> e-commerce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é uma tecnologia que inovou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 xml:space="preserve"> as transações de bens, serviços e informações realizadas entre empresas e indivíduos em ambiente eletrônico. Teve início nos Estados Unidos, em meados da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década de 1990, sendo rapidamente propagado para a Europa e demais localidades do mundo.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Devido a sua rápida expansão, o comércio eletrônico tem se mostrado um mercado de intenso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crescimento, principalmente na última década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pacing w:line="360" w:lineRule="auto"/>
              <w:ind w:left="0" w:right="0" w:firstLine="0"/>
              <w:jc w:val="both"/>
            </w:pPr>
            <w:r>
              <w:rPr>
                <w:rFonts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 xml:space="preserve">O </w:t>
            </w:r>
            <w:r>
              <w:rPr>
                <w:rFonts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 xml:space="preserve">crescimento </w:t>
            </w:r>
            <w:r>
              <w:rPr>
                <w:rFonts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>desse mercado</w:t>
            </w:r>
            <w:r>
              <w:rPr>
                <w:rFonts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 xml:space="preserve"> ocorre, principalmente,</w:t>
            </w:r>
            <w:r>
              <w:rPr>
                <w:rFonts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 xml:space="preserve">após </w:t>
            </w:r>
            <w:r>
              <w:rPr>
                <w:rFonts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 xml:space="preserve"> pandemia,</w:t>
            </w:r>
            <w:r>
              <w:rPr>
                <w:rFonts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 xml:space="preserve"> ao aumento da confiança dos</w:t>
            </w:r>
            <w:r>
              <w:rPr>
                <w:rFonts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 xml:space="preserve"> compradores</w:t>
            </w:r>
            <w:r>
              <w:rPr>
                <w:rFonts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 xml:space="preserve"> nesse tipo de comércio</w:t>
            </w:r>
            <w:r>
              <w:rPr>
                <w:rFonts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 xml:space="preserve">, </w:t>
            </w:r>
            <w:r>
              <w:rPr>
                <w:rFonts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>maio</w:t>
            </w:r>
            <w:r>
              <w:rPr>
                <w:rFonts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>r</w:t>
            </w:r>
            <w:r>
              <w:rPr>
                <w:rFonts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 xml:space="preserve"> acess</w:t>
            </w:r>
            <w:r>
              <w:rPr>
                <w:rFonts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>ibilidade</w:t>
            </w:r>
            <w:r>
              <w:rPr>
                <w:rFonts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 xml:space="preserve"> à internet e aos benefícios que tanto empresas quanto</w:t>
            </w:r>
            <w:r>
              <w:rPr>
                <w:rFonts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 xml:space="preserve"> </w:t>
            </w:r>
            <w:r>
              <w:rPr>
                <w:rFonts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>consumidores</w:t>
            </w:r>
            <w:r>
              <w:rPr>
                <w:rFonts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 xml:space="preserve"> </w:t>
            </w:r>
            <w:r>
              <w:rPr>
                <w:rFonts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>obtêm ao utilizá-lo</w:t>
            </w:r>
            <w:r>
              <w:rPr>
                <w:rFonts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>, como a praticidade, agilidade e o custo benefício.</w:t>
            </w:r>
          </w:p>
          <w:p>
            <w:pPr>
              <w:keepNext w:val="0"/>
              <w:keepLines w:val="0"/>
              <w:widowControl/>
              <w:spacing w:line="360" w:lineRule="auto"/>
              <w:ind w:left="708" w:right="0" w:firstLine="0"/>
              <w:jc w:val="both"/>
            </w:pPr>
            <w:r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(BAUMAN, 2001; LÉVY, 1996) Para o desenvolvimento deste texto partimos da compreensão de que vivemos em uma época em que emerge todo um conjunto de desenvolvimentos tecnológicos relacionados aos meios de comunicação eletrônicos e às tecnologias digitais e virtuais que estariam mudando a forma como vivemos. 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(MAFFESOLI, 2010)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N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este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contexto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surgiram grupos culturais juvenis cujos integrantes têm sido referidos como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nerd/geek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, 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onde relatam de que o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pertencimento de grupo passa pelo uso de artefatos tecnológicos,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pelas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formas de apropriação de saberes e pelas formas de se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divertir com filmes de ficção científica, histórias em quadrinho, seriados de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TV, jogos,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entre outros artefatos culturais</w:t>
            </w:r>
            <w:r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pacing w:line="360" w:lineRule="auto"/>
              <w:ind w:left="0" w:right="0" w:firstLine="0"/>
              <w:jc w:val="both"/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</w:pPr>
          </w:p>
          <w:p>
            <w:pPr>
              <w:keepNext w:val="0"/>
              <w:keepLines w:val="0"/>
              <w:widowControl/>
              <w:spacing w:line="360" w:lineRule="auto"/>
              <w:ind w:left="0" w:right="0" w:firstLine="0"/>
              <w:jc w:val="both"/>
              <w:rPr>
                <w:rFonts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>Com a pesquisa sobre esses  grupos, percebemos um avanço significativo sobre a presença deles na sociedade, o que tornou oportuno tê-los como público alvo. Com isso, analisamos também os produtos mais consumidos relacionados à essa comunidade como jogos de tabuleiro, itens de decoração, acessórios, livros, mangás e histórias em quadrinho.</w:t>
            </w:r>
          </w:p>
          <w:p>
            <w:pPr>
              <w:widowControl/>
              <w:spacing w:line="360" w:lineRule="auto"/>
              <w:ind w:left="0" w:right="0" w:firstLine="0"/>
              <w:jc w:val="both"/>
              <w:rPr>
                <w:rFonts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>O consumo médio dos produtos geek é aproximadamente 40% superior ao do mercado nacional, onde movimentam bilhões de reais anualmente.</w:t>
            </w:r>
          </w:p>
          <w:p>
            <w:pPr>
              <w:widowControl/>
              <w:spacing w:line="360" w:lineRule="auto"/>
              <w:ind w:left="708" w:right="0" w:firstLine="0"/>
              <w:jc w:val="both"/>
              <w:rPr>
                <w:rFonts w:ascii="Helvetica Neue;Helvetica;Arial;" w:hAnsi="Helvetica Neue;Helvetica;Arial;"/>
                <w:b w:val="0"/>
                <w:i w:val="0"/>
                <w:caps w:val="0"/>
                <w:small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ascii="Arial" w:hAnsi="Arial" w:eastAsia="sans-serif" w:cs="Arial"/>
                <w:b w:val="0"/>
                <w:i w:val="0"/>
                <w:caps w:val="0"/>
                <w:smallCaps w:val="0"/>
                <w:color w:val="333333"/>
                <w:spacing w:val="0"/>
                <w:kern w:val="0"/>
                <w:sz w:val="20"/>
                <w:szCs w:val="20"/>
                <w:lang w:val="pt-PT" w:eastAsia="zh-CN" w:bidi="ar"/>
              </w:rPr>
              <w:t>(Lopes, 2013) os jogos de Tabuleiro são artefactos que acompanham a humanidade desde as civilizações mais antigas. Objetos de coleção, entretenimento e de educação, são também simula- ções de práticas sociais. Ao longo da evolução tecnológica, os Jogos de Tabuleiro tornaram-se visualmente complexos, utilizando diferentes mecanismos gráficos para comunicar com o jogador a sua mecânica de jogo. A existência de vários símbolos/signos gráficos no objeto de estudo, torna possível a sua integração como tema de investigação no campo de trabalho do Design de Comunicação, na medida que a sua função é essencial, para que a mecânica do jogo possa ser entendida e operacionalizada corretamente pelos indivíduos. Deste modo, o tabuleiro de um jogo é um suporte gráfico, com o qual o jogador interage e onde a informação da mecânica é transmitida visualmente através de um pequeno conjunto de regras. Este suporte, comporta necessariamente um conjunto de elementos visuais que tornam a mensagem visível, sendo esta constituída por várias camadas de informação.</w:t>
            </w:r>
          </w:p>
          <w:p>
            <w:pPr>
              <w:widowControl/>
              <w:spacing w:line="360" w:lineRule="auto"/>
              <w:ind w:left="0" w:right="0" w:firstLine="0"/>
              <w:jc w:val="both"/>
              <w:rPr>
                <w:rFonts w:ascii="Arial" w:hAnsi="Arial" w:eastAsia="sans-serif" w:cs="Arial"/>
                <w:b w:val="0"/>
                <w:i w:val="0"/>
                <w:caps w:val="0"/>
                <w:smallCaps w:val="0"/>
                <w:color w:val="333333"/>
                <w:spacing w:val="0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ascii="Arial" w:hAnsi="Arial" w:eastAsia="sans-serif" w:cs="Arial"/>
                <w:b w:val="0"/>
                <w:i w:val="0"/>
                <w:caps w:val="0"/>
                <w:smallCaps w:val="0"/>
                <w:color w:val="333333"/>
                <w:spacing w:val="0"/>
                <w:kern w:val="0"/>
                <w:sz w:val="24"/>
                <w:szCs w:val="24"/>
                <w:lang w:val="pt-PT" w:eastAsia="zh-CN" w:bidi="ar"/>
              </w:rPr>
              <w:t>Os jogos de tabuleiro servem de estímulo psicológico para pessoas de todas as faixa etárias, e, também, contribuem no desenvolvimento de relações e comunicação com os outros.</w:t>
            </w:r>
          </w:p>
          <w:p>
            <w:pPr>
              <w:widowControl/>
              <w:spacing w:line="360" w:lineRule="auto"/>
              <w:ind w:left="708" w:right="0" w:firstLine="0"/>
              <w:jc w:val="both"/>
              <w:rPr>
                <w:rFonts w:ascii="Noto Sans;apple-system;BlinkMac" w:hAnsi="Noto Sans;apple-system;BlinkMac"/>
                <w:b w:val="0"/>
                <w:i w:val="0"/>
                <w:caps w:val="0"/>
                <w:smallCaps w:val="0"/>
                <w:spacing w:val="0"/>
                <w:sz w:val="21"/>
                <w:szCs w:val="20"/>
              </w:rPr>
            </w:pPr>
            <w:r>
              <w:rPr>
                <w:rFonts w:ascii="Arial" w:hAnsi="Arial" w:eastAsia="sans-serif" w:cs="Arial"/>
                <w:b w:val="0"/>
                <w:i w:val="0"/>
                <w:caps w:val="0"/>
                <w:smallCaps w:val="0"/>
                <w:color w:val="333333"/>
                <w:spacing w:val="0"/>
                <w:kern w:val="0"/>
                <w:sz w:val="21"/>
                <w:szCs w:val="20"/>
                <w:lang w:val="pt-PT" w:eastAsia="zh-CN" w:bidi="ar"/>
              </w:rPr>
              <w:t>(Meireles, 2003) “Mangás (histórias em quadrinhos) e animes (desenhos animados) japoneses são uma excelente fonte de contato com a cultura japonesa e, apesar de sua extraordinária e crescente popularidade no Ocidente, ainda são pouco considerados como formas artísticas de expressão adequadas ao estudo e divulgação de uma determinada cultura.”</w:t>
            </w:r>
          </w:p>
          <w:p>
            <w:pPr>
              <w:widowControl/>
              <w:spacing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rFonts w:ascii="Arial" w:hAnsi="Arial" w:eastAsia="sans-serif" w:cs="Arial"/>
                <w:b w:val="0"/>
                <w:i w:val="0"/>
                <w:caps w:val="0"/>
                <w:smallCaps w:val="0"/>
                <w:color w:val="333333"/>
                <w:spacing w:val="0"/>
                <w:kern w:val="0"/>
                <w:sz w:val="24"/>
                <w:szCs w:val="24"/>
                <w:lang w:val="pt-PT" w:eastAsia="zh-CN" w:bidi="ar"/>
              </w:rPr>
              <w:t>Atualmente, as histórias em quadrinhos vêm ganhando espaço em revistarias, livrarias e bibliotecas. Seu diferencial é ser lido de trás para frente, ou seja, a história é lida da última página ao sentido da primeira. Além disso, as HQs possibilitam ao leitor identificar-se com o protagonista e entrar em um mundo à parte.</w:t>
            </w:r>
          </w:p>
          <w:p>
            <w:pPr>
              <w:widowControl/>
              <w:spacing w:line="360" w:lineRule="auto"/>
              <w:ind w:left="0" w:right="0" w:firstLine="0"/>
              <w:jc w:val="both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ascii="Arial" w:hAnsi="Arial" w:eastAsia="sans-serif" w:cs="Arial"/>
                <w:b w:val="0"/>
                <w:i w:val="0"/>
                <w:caps w:val="0"/>
                <w:smallCaps w:val="0"/>
                <w:color w:val="333333"/>
                <w:spacing w:val="0"/>
                <w:kern w:val="0"/>
                <w:sz w:val="24"/>
                <w:szCs w:val="24"/>
                <w:lang w:val="pt-PT" w:eastAsia="zh-CN" w:bidi="ar"/>
              </w:rPr>
              <w:t xml:space="preserve">Nossa empresa tem como objetivo crescer no ramo geek e conquistar um público cada vez maior, sem limitações de faixa etária. </w:t>
            </w:r>
            <w:r>
              <w:rPr>
                <w:rFonts w:hint="default" w:ascii="Arial" w:hAnsi="Arial" w:eastAsia="sans-serif" w:cs="Arial"/>
                <w:b w:val="0"/>
                <w:i w:val="0"/>
                <w:caps w:val="0"/>
                <w:smallCaps w:val="0"/>
                <w:color w:val="333333"/>
                <w:spacing w:val="0"/>
                <w:kern w:val="0"/>
                <w:sz w:val="24"/>
                <w:szCs w:val="24"/>
                <w:lang w:val="pt-PT" w:eastAsia="zh-CN" w:bidi="ar"/>
              </w:rPr>
              <w:t xml:space="preserve">Focaremos nas </w:t>
            </w:r>
            <w:r>
              <w:rPr>
                <w:rFonts w:ascii="Arial" w:hAnsi="Arial" w:eastAsia="sans-serif" w:cs="Arial"/>
                <w:b w:val="0"/>
                <w:i w:val="0"/>
                <w:caps w:val="0"/>
                <w:smallCaps w:val="0"/>
                <w:color w:val="333333"/>
                <w:spacing w:val="0"/>
                <w:kern w:val="0"/>
                <w:sz w:val="24"/>
                <w:szCs w:val="24"/>
                <w:lang w:val="pt-PT" w:eastAsia="zh-CN" w:bidi="ar"/>
              </w:rPr>
              <w:t>venda</w:t>
            </w:r>
            <w:r>
              <w:rPr>
                <w:rFonts w:hint="default" w:ascii="Arial" w:hAnsi="Arial" w:eastAsia="sans-serif" w:cs="Arial"/>
                <w:b w:val="0"/>
                <w:i w:val="0"/>
                <w:caps w:val="0"/>
                <w:smallCaps w:val="0"/>
                <w:color w:val="333333"/>
                <w:spacing w:val="0"/>
                <w:kern w:val="0"/>
                <w:sz w:val="24"/>
                <w:szCs w:val="24"/>
                <w:lang w:val="pt-PT" w:eastAsia="zh-CN" w:bidi="ar"/>
              </w:rPr>
              <w:t xml:space="preserve">s </w:t>
            </w:r>
            <w:r>
              <w:rPr>
                <w:rFonts w:ascii="Arial" w:hAnsi="Arial" w:eastAsia="sans-serif" w:cs="Arial"/>
                <w:b w:val="0"/>
                <w:i w:val="0"/>
                <w:caps w:val="0"/>
                <w:smallCaps w:val="0"/>
                <w:color w:val="333333"/>
                <w:spacing w:val="0"/>
                <w:kern w:val="0"/>
                <w:sz w:val="24"/>
                <w:szCs w:val="24"/>
                <w:lang w:val="pt-PT" w:eastAsia="zh-CN" w:bidi="ar"/>
              </w:rPr>
              <w:t xml:space="preserve"> de RPG’s, o qua</w:t>
            </w:r>
            <w:r>
              <w:rPr>
                <w:rFonts w:hint="default" w:ascii="Arial" w:hAnsi="Arial" w:eastAsia="sans-serif" w:cs="Arial"/>
                <w:b w:val="0"/>
                <w:i w:val="0"/>
                <w:caps w:val="0"/>
                <w:smallCaps w:val="0"/>
                <w:color w:val="333333"/>
                <w:spacing w:val="0"/>
                <w:kern w:val="0"/>
                <w:sz w:val="24"/>
                <w:szCs w:val="24"/>
                <w:lang w:val="pt-PT" w:eastAsia="zh-CN" w:bidi="ar"/>
              </w:rPr>
              <w:t>l é um jogo que atrai muito interesse na comunidade geek. Além disso, venderemos produtos como acessórios e decorações como quadros, itens colecionáveis, luminárias, entre outros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pacing w:line="360" w:lineRule="auto"/>
              <w:ind w:left="0" w:righ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pacing w:line="360" w:lineRule="auto"/>
              <w:ind w:left="0" w:right="0" w:firstLine="0"/>
              <w:jc w:val="both"/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</w:pPr>
            <w:r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pacing w:line="360" w:lineRule="auto"/>
              <w:ind w:left="0" w:right="0" w:firstLine="0"/>
              <w:jc w:val="both"/>
              <w:rPr>
                <w:rFonts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</w:pPr>
          </w:p>
          <w:p>
            <w:pPr>
              <w:keepNext w:val="0"/>
              <w:keepLines w:val="0"/>
              <w:widowControl/>
              <w:spacing w:line="360" w:lineRule="auto"/>
              <w:ind w:left="0" w:right="0" w:firstLine="0"/>
              <w:jc w:val="both"/>
              <w:rPr>
                <w:rFonts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</w:pPr>
          </w:p>
          <w:p>
            <w:pPr>
              <w:keepNext w:val="0"/>
              <w:keepLines w:val="0"/>
              <w:widowControl/>
              <w:spacing w:line="360" w:lineRule="auto"/>
              <w:ind w:left="0" w:right="0" w:firstLine="0"/>
              <w:jc w:val="both"/>
              <w:rPr>
                <w:rFonts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pacing w:line="360" w:lineRule="auto"/>
              <w:ind w:left="0" w:right="0" w:firstLine="0"/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  <w:p>
            <w:pPr>
              <w:spacing w:before="0" w:after="160"/>
              <w:ind w:left="0" w:right="0" w:firstLine="0"/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160"/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10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left="0" w:right="1134" w:firstLine="0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10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10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spacing w:before="0" w:after="160"/>
              <w:rPr>
                <w:rFonts w:ascii="Arial" w:hAnsi="Arial" w:cs="Arial"/>
              </w:rPr>
            </w:pPr>
          </w:p>
        </w:tc>
      </w:tr>
    </w:tbl>
    <w:p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10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eastAsia="Calibri" w:cs="Arial"/>
                <w:lang w:eastAsia="pt-BR"/>
              </w:rPr>
            </w:pPr>
          </w:p>
          <w:p>
            <w:pPr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spacing w:before="0" w:after="16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10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before="0"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10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arial" w:hAnsi="arial" w:eastAsia="SimSun" w:cs="SimSun"/>
                <w:kern w:val="0"/>
                <w:sz w:val="24"/>
                <w:szCs w:val="24"/>
                <w:lang w:val="en-US" w:eastAsia="zh-CN" w:bidi="ar"/>
              </w:rPr>
              <w:t>MENDES, Laura Zimmermann Ramayana. E-commerce: origem, desenvolvimento e perspectivas. 2013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  <w:p>
            <w:pPr>
              <w:widowControl/>
              <w:ind w:left="0" w:right="0" w:firstLine="0"/>
              <w:jc w:val="left"/>
              <w:rPr>
                <w:rFonts w:ascii="arial" w:hAnsi="arial" w:eastAsia="SimSun" w:cs="SimSun"/>
                <w:b w:val="0"/>
                <w:i w:val="0"/>
                <w:caps w:val="0"/>
                <w:small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arial" w:hAnsi="arial" w:eastAsia="SimSun" w:cs="SimSun"/>
                <w:b w:val="0"/>
                <w:i w:val="0"/>
                <w:caps w:val="0"/>
                <w:small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BICCA, Angela Dillmann Nunes et al. Identidades Nerd/Geek na web: um estudo sobre pedagogias culturais e culturas juvenis. Conjectura: Filos. Educ., Caxias do Sul, v. 18, n. 1, p. 87-104, 2013.</w:t>
            </w:r>
          </w:p>
          <w:p>
            <w:pPr>
              <w:widowControl/>
              <w:ind w:left="0" w:right="0" w:firstLine="0"/>
              <w:jc w:val="left"/>
              <w:rPr>
                <w:rFonts w:ascii="Arial;sans-serif" w:hAnsi="Arial;sans-serif" w:eastAsia="SimSun" w:cs="SimSun"/>
                <w:b w:val="0"/>
                <w:i w:val="0"/>
                <w:caps w:val="0"/>
                <w:small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Arial;sans-serif" w:hAnsi="Arial;sans-serif" w:eastAsia="SimSun" w:cs="SimSun"/>
                <w:b w:val="0"/>
                <w:i w:val="0"/>
                <w:caps w:val="0"/>
                <w:small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LOPES, Diogo. Jogos de Tabuleiro-estudo dos sistemas visuais. 2013. Tese de Doutorado.</w:t>
            </w:r>
          </w:p>
          <w:p>
            <w:pPr>
              <w:widowControl/>
              <w:ind w:left="0" w:right="0" w:firstLine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eastAsia="SimSun" w:cs="SimSun"/>
                <w:b w:val="0"/>
                <w:i w:val="0"/>
                <w:caps w:val="0"/>
                <w:small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MEIRELES, Selma Martins. O ocidente redescobre o Japão: o boom de mangás e animes. Revista de estudos orientais, n. 4, p. 203-211, 2003.</w:t>
            </w:r>
          </w:p>
          <w:p>
            <w:pPr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r>
        <w:drawing>
          <wp:inline distT="0" distB="0" distL="0" distR="0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6"/>
        <w:gridCol w:w="2485"/>
        <w:gridCol w:w="17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1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1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1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spacing w:before="0" w:after="1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spacing w:before="0" w:after="1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pacing w:before="0" w:after="160"/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widowControl/>
        <w:suppressAutoHyphens/>
        <w:bidi w:val="0"/>
        <w:spacing w:before="0" w:after="160" w:line="259" w:lineRule="auto"/>
        <w:jc w:val="left"/>
      </w:pPr>
    </w:p>
    <w:sectPr>
      <w:headerReference r:id="rId5" w:type="default"/>
      <w:pgSz w:w="11906" w:h="16838"/>
      <w:pgMar w:top="1701" w:right="1134" w:bottom="1134" w:left="1701" w:header="708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思源黑体 C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altName w:val="Droid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ourier Ne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Pothana2000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;Helvetica;Arial;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;apple-system;BlinkMa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;sans-serif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9061" w:type="dxa"/>
      <w:tblInd w:w="108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78"/>
      <w:gridCol w:w="5529"/>
      <w:gridCol w:w="1554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78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before="0" w:after="0" w:line="240" w:lineRule="auto"/>
          </w:pPr>
          <w: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before="0"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before="0"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before="0"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before="0" w:after="0" w:line="240" w:lineRule="auto"/>
            <w:jc w:val="center"/>
            <w:rPr>
              <w:rFonts w:cs="Arial"/>
              <w:b/>
              <w:color w:val="000000"/>
              <w:sz w:val="15"/>
              <w:szCs w:val="15"/>
            </w:rPr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before="0" w:after="0" w:line="240" w:lineRule="auto"/>
            <w:jc w:val="center"/>
            <w:rPr>
              <w:rFonts w:cs="Arial"/>
              <w:b/>
              <w:color w:val="000000"/>
              <w:sz w:val="15"/>
              <w:szCs w:val="15"/>
            </w:rPr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bottom w:val="single" w:color="000000" w:sz="12" w:space="1"/>
            </w:pBdr>
            <w:spacing w:before="0"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\h </w:instrText>
          </w:r>
          <w:r>
            <w:fldChar w:fldCharType="separate"/>
          </w:r>
          <w:r>
            <w:rPr>
              <w:rStyle w:val="9"/>
              <w:rFonts w:cs="Arial"/>
              <w:sz w:val="15"/>
              <w:szCs w:val="15"/>
            </w:rPr>
            <w:t>http://www.ceepcascavel.com.br</w:t>
          </w:r>
          <w:r>
            <w:rPr>
              <w:rStyle w:val="9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\h </w:instrText>
          </w:r>
          <w:r>
            <w:fldChar w:fldCharType="separate"/>
          </w:r>
          <w:r>
            <w:rPr>
              <w:rStyle w:val="9"/>
              <w:rFonts w:cs="Arial"/>
              <w:sz w:val="15"/>
              <w:szCs w:val="15"/>
            </w:rPr>
            <w:t>ceep@nrecascavel.com</w:t>
          </w:r>
          <w:r>
            <w:rPr>
              <w:rStyle w:val="9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4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before="0" w:after="0" w:line="240" w:lineRule="auto"/>
          </w:pPr>
          <w:r>
            <w:pict>
              <v:shape id="ole_rId4" o:spid="_x0000_s2049" o:spt="75" type="#_x0000_t75" style="height:38.2pt;width:50.15pt;" o:ole="t" filled="f" coordsize="21600,21600">
                <v:path/>
                <v:fill on="f" focussize="0,0"/>
                <v:stroke/>
                <v:imagedata r:id="rId3" o:title=""/>
                <o:lock v:ext="edit"/>
                <w10:wrap type="none"/>
                <w10:anchorlock/>
              </v:shape>
              <o:OLEObject Type="Embed" ProgID="" ShapeID="ole_rId4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  <w:spacing w:before="0" w:after="160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7EF8AC"/>
    <w:multiLevelType w:val="multilevel"/>
    <w:tmpl w:val="E87EF8AC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cumentProtection w:enforcement="0"/>
  <w:defaultTabStop w:val="708"/>
  <w:autoHyphenation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2"/>
  </w:compat>
  <w:rsids>
    <w:rsidRoot w:val="00000000"/>
    <w:rsid w:val="2EEE54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160" w:line="259" w:lineRule="auto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uiPriority w:val="0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uiPriority w:val="0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List"/>
    <w:basedOn w:val="4"/>
    <w:qFormat/>
    <w:uiPriority w:val="0"/>
    <w:rPr>
      <w:rFonts w:cs="FreeSans"/>
    </w:rPr>
  </w:style>
  <w:style w:type="character" w:customStyle="1" w:styleId="9">
    <w:name w:val="Link da Internet"/>
    <w:uiPriority w:val="0"/>
    <w:rPr>
      <w:color w:val="0000FF"/>
      <w:u w:val="single"/>
    </w:rPr>
  </w:style>
  <w:style w:type="character" w:customStyle="1" w:styleId="10">
    <w:name w:val="Recuo de corpo de texto 3 Char"/>
    <w:qFormat/>
    <w:uiPriority w:val="0"/>
    <w:rPr>
      <w:rFonts w:ascii="Arial" w:hAnsi="Arial" w:eastAsia="Times New Roman" w:cs="Arial"/>
      <w:sz w:val="24"/>
    </w:rPr>
  </w:style>
  <w:style w:type="character" w:customStyle="1" w:styleId="11">
    <w:name w:val="Cabeçalho Char"/>
    <w:qFormat/>
    <w:uiPriority w:val="0"/>
    <w:rPr>
      <w:rFonts w:eastAsia="Times New Roman" w:cs="Calibri"/>
      <w:sz w:val="22"/>
      <w:szCs w:val="22"/>
    </w:rPr>
  </w:style>
  <w:style w:type="character" w:customStyle="1" w:styleId="12">
    <w:name w:val="Texto de balão Char"/>
    <w:qFormat/>
    <w:uiPriority w:val="0"/>
    <w:rPr>
      <w:rFonts w:ascii="Tahoma" w:hAnsi="Tahoma" w:eastAsia="Times New Roman" w:cs="Tahoma"/>
      <w:sz w:val="16"/>
      <w:szCs w:val="16"/>
    </w:rPr>
  </w:style>
  <w:style w:type="character" w:customStyle="1" w:styleId="13">
    <w:name w:val="WW8Num1z2"/>
    <w:qFormat/>
    <w:uiPriority w:val="0"/>
    <w:rPr>
      <w:rFonts w:ascii="Wingdings" w:hAnsi="Wingdings" w:cs="Wingdings"/>
    </w:rPr>
  </w:style>
  <w:style w:type="character" w:customStyle="1" w:styleId="14">
    <w:name w:val="Rodapé Char"/>
    <w:qFormat/>
    <w:uiPriority w:val="0"/>
    <w:rPr>
      <w:rFonts w:eastAsia="Times New Roman" w:cs="Calibri"/>
      <w:sz w:val="22"/>
      <w:szCs w:val="22"/>
    </w:rPr>
  </w:style>
  <w:style w:type="character" w:customStyle="1" w:styleId="15">
    <w:name w:val="WW8Num1z0"/>
    <w:qFormat/>
    <w:uiPriority w:val="0"/>
    <w:rPr>
      <w:rFonts w:ascii="Courier New" w:hAnsi="Courier New" w:cs="Courier New"/>
    </w:rPr>
  </w:style>
  <w:style w:type="character" w:customStyle="1" w:styleId="16">
    <w:name w:val="WW8Num1z3"/>
    <w:qFormat/>
    <w:uiPriority w:val="0"/>
    <w:rPr>
      <w:rFonts w:ascii="Symbol" w:hAnsi="Symbol" w:cs="Symbol"/>
    </w:rPr>
  </w:style>
  <w:style w:type="character" w:customStyle="1" w:styleId="17">
    <w:name w:val="WW8Num2z0"/>
    <w:qFormat/>
    <w:uiPriority w:val="0"/>
  </w:style>
  <w:style w:type="character" w:customStyle="1" w:styleId="18">
    <w:name w:val="Fonte parág. padrão1"/>
    <w:qFormat/>
    <w:uiPriority w:val="0"/>
  </w:style>
  <w:style w:type="paragraph" w:customStyle="1" w:styleId="19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0">
    <w:name w:val="Índice"/>
    <w:basedOn w:val="1"/>
    <w:qFormat/>
    <w:uiPriority w:val="0"/>
    <w:pPr>
      <w:suppressLineNumbers/>
    </w:pPr>
    <w:rPr>
      <w:rFonts w:cs="FreeSans"/>
    </w:rPr>
  </w:style>
  <w:style w:type="paragraph" w:customStyle="1" w:styleId="21">
    <w:name w:val="Cabeçalho e Rodapé"/>
    <w:basedOn w:val="1"/>
    <w:qFormat/>
    <w:uiPriority w:val="0"/>
  </w:style>
  <w:style w:type="paragraph" w:customStyle="1" w:styleId="22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3">
    <w:name w:val="Conteúdo da tabela"/>
    <w:basedOn w:val="1"/>
    <w:qFormat/>
    <w:uiPriority w:val="0"/>
    <w:pPr>
      <w:suppressLineNumbers/>
    </w:pPr>
  </w:style>
  <w:style w:type="paragraph" w:customStyle="1" w:styleId="24">
    <w:name w:val="Título de tabela"/>
    <w:basedOn w:val="23"/>
    <w:qFormat/>
    <w:uiPriority w:val="0"/>
    <w:pPr>
      <w:jc w:val="center"/>
    </w:pPr>
    <w:rPr>
      <w:b/>
      <w:bCs/>
    </w:rPr>
  </w:style>
  <w:style w:type="paragraph" w:customStyle="1" w:styleId="25">
    <w:name w:val="Recuo de corpo de texto 31"/>
    <w:basedOn w:val="1"/>
    <w:qFormat/>
    <w:uiPriority w:val="0"/>
    <w:pPr>
      <w:widowControl w:val="0"/>
      <w:spacing w:line="360" w:lineRule="auto"/>
      <w:ind w:left="1701" w:right="0" w:firstLine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6">
    <w:name w:val="Texto de balão1"/>
    <w:basedOn w:val="1"/>
    <w:qFormat/>
    <w:uiPriority w:val="0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919</Words>
  <Characters>5231</Characters>
  <Paragraphs>65</Paragraphs>
  <TotalTime>106</TotalTime>
  <ScaleCrop>false</ScaleCrop>
  <LinksUpToDate>false</LinksUpToDate>
  <CharactersWithSpaces>6340</CharactersWithSpaces>
  <Application>WPS Office_11.1.0.11691_F1E327BC-269C-435d-A152-05C5408002CA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2023-02-12T03:59:00Z</dcterms:created>
  <dc:creator>740.ch sg2</dc:creator>
  <cp:lastModifiedBy>aluno</cp:lastModifiedBy>
  <cp:lastPrinted>2013-03-13T07:42:00Z</cp:lastPrinted>
  <dcterms:modified xsi:type="dcterms:W3CDTF">2023-09-18T16:43:19Z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1046-11.1.0.11691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